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67" w:rsidRDefault="002C3B67" w:rsidP="002C3B67">
      <w:pPr>
        <w:spacing w:after="0" w:line="380" w:lineRule="exact"/>
        <w:rPr>
          <w:b/>
          <w:sz w:val="28"/>
          <w:szCs w:val="28"/>
          <w:lang w:val="fr-BE"/>
        </w:rPr>
      </w:pPr>
      <w:r>
        <w:rPr>
          <w:noProof/>
          <w:lang w:val="fr-FR" w:eastAsia="fr-FR"/>
        </w:rPr>
        <w:drawing>
          <wp:anchor distT="0" distB="0" distL="114300" distR="114300" simplePos="0" relativeHeight="251658240" behindDoc="0" locked="0" layoutInCell="1" allowOverlap="1">
            <wp:simplePos x="0" y="0"/>
            <wp:positionH relativeFrom="column">
              <wp:posOffset>2298700</wp:posOffset>
            </wp:positionH>
            <wp:positionV relativeFrom="paragraph">
              <wp:posOffset>9525</wp:posOffset>
            </wp:positionV>
            <wp:extent cx="1152693" cy="690465"/>
            <wp:effectExtent l="0" t="0" r="0" b="0"/>
            <wp:wrapSquare wrapText="bothSides"/>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2693" cy="690465"/>
                    </a:xfrm>
                    <a:prstGeom prst="rect">
                      <a:avLst/>
                    </a:prstGeom>
                  </pic:spPr>
                </pic:pic>
              </a:graphicData>
            </a:graphic>
          </wp:anchor>
        </w:drawing>
      </w:r>
    </w:p>
    <w:p w:rsidR="00770C10" w:rsidRDefault="00770C10" w:rsidP="002C3B67">
      <w:pPr>
        <w:spacing w:after="0" w:line="380" w:lineRule="exact"/>
        <w:rPr>
          <w:b/>
          <w:sz w:val="28"/>
          <w:szCs w:val="28"/>
          <w:lang w:val="fr-BE"/>
        </w:rPr>
      </w:pPr>
    </w:p>
    <w:p w:rsidR="00770C10" w:rsidRDefault="00770C10" w:rsidP="002C3B67">
      <w:pPr>
        <w:spacing w:after="0" w:line="380" w:lineRule="exact"/>
        <w:rPr>
          <w:b/>
          <w:sz w:val="28"/>
          <w:szCs w:val="28"/>
          <w:lang w:val="fr-BE"/>
        </w:rPr>
      </w:pPr>
    </w:p>
    <w:p w:rsidR="00E27498" w:rsidRPr="002C3B67" w:rsidRDefault="00E27498" w:rsidP="00B24D6E">
      <w:pPr>
        <w:spacing w:after="0" w:line="380" w:lineRule="exact"/>
        <w:jc w:val="center"/>
        <w:rPr>
          <w:b/>
          <w:sz w:val="28"/>
          <w:szCs w:val="28"/>
          <w:lang w:val="fr-BE"/>
        </w:rPr>
      </w:pPr>
      <w:r w:rsidRPr="002C3B67">
        <w:rPr>
          <w:b/>
          <w:sz w:val="28"/>
          <w:szCs w:val="28"/>
          <w:lang w:val="fr-BE"/>
        </w:rPr>
        <w:t>Projet de recherche MALINEA</w:t>
      </w:r>
    </w:p>
    <w:p w:rsidR="00E27498" w:rsidRPr="002C3B67" w:rsidRDefault="00E27498" w:rsidP="00E27498">
      <w:pPr>
        <w:spacing w:line="380" w:lineRule="exact"/>
        <w:jc w:val="center"/>
        <w:rPr>
          <w:b/>
          <w:sz w:val="28"/>
          <w:szCs w:val="28"/>
          <w:lang w:val="fr-BE"/>
        </w:rPr>
      </w:pPr>
      <w:r w:rsidRPr="002C3B67">
        <w:rPr>
          <w:rFonts w:ascii="Cambria" w:eastAsia="Cambria" w:hAnsi="Cambria" w:cs="Cambria"/>
          <w:b/>
          <w:color w:val="538DD4"/>
          <w:sz w:val="28"/>
          <w:szCs w:val="28"/>
          <w:lang w:val="fr-FR"/>
        </w:rPr>
        <w:t>V</w:t>
      </w:r>
      <w:r w:rsidRPr="002C3B67">
        <w:rPr>
          <w:rFonts w:ascii="Cambria" w:eastAsia="Cambria" w:hAnsi="Cambria" w:cs="Cambria"/>
          <w:b/>
          <w:color w:val="538DD4"/>
          <w:spacing w:val="-1"/>
          <w:sz w:val="28"/>
          <w:szCs w:val="28"/>
          <w:lang w:val="fr-FR"/>
        </w:rPr>
        <w:t>o</w:t>
      </w:r>
      <w:r w:rsidRPr="002C3B67">
        <w:rPr>
          <w:rFonts w:ascii="Cambria" w:eastAsia="Cambria" w:hAnsi="Cambria" w:cs="Cambria"/>
          <w:b/>
          <w:color w:val="538DD4"/>
          <w:sz w:val="28"/>
          <w:szCs w:val="28"/>
          <w:lang w:val="fr-FR"/>
        </w:rPr>
        <w:t>l</w:t>
      </w:r>
      <w:r w:rsidRPr="002C3B67">
        <w:rPr>
          <w:rFonts w:ascii="Cambria" w:eastAsia="Cambria" w:hAnsi="Cambria" w:cs="Cambria"/>
          <w:b/>
          <w:color w:val="538DD4"/>
          <w:spacing w:val="1"/>
          <w:sz w:val="28"/>
          <w:szCs w:val="28"/>
          <w:lang w:val="fr-FR"/>
        </w:rPr>
        <w:t>e</w:t>
      </w:r>
      <w:r w:rsidRPr="002C3B67">
        <w:rPr>
          <w:rFonts w:ascii="Cambria" w:eastAsia="Cambria" w:hAnsi="Cambria" w:cs="Cambria"/>
          <w:b/>
          <w:color w:val="538DD4"/>
          <w:sz w:val="28"/>
          <w:szCs w:val="28"/>
          <w:lang w:val="fr-FR"/>
        </w:rPr>
        <w:t>t</w:t>
      </w:r>
      <w:r w:rsidRPr="002C3B67">
        <w:rPr>
          <w:b/>
          <w:color w:val="538DD4"/>
          <w:spacing w:val="-13"/>
          <w:sz w:val="28"/>
          <w:szCs w:val="28"/>
          <w:lang w:val="fr-FR"/>
        </w:rPr>
        <w:t xml:space="preserve"> </w:t>
      </w:r>
      <w:r w:rsidRPr="002C3B67">
        <w:rPr>
          <w:rFonts w:ascii="Cambria" w:eastAsia="Cambria" w:hAnsi="Cambria" w:cs="Cambria"/>
          <w:b/>
          <w:color w:val="538DD4"/>
          <w:spacing w:val="1"/>
          <w:sz w:val="28"/>
          <w:szCs w:val="28"/>
          <w:lang w:val="fr-FR"/>
        </w:rPr>
        <w:t>déve</w:t>
      </w:r>
      <w:r w:rsidRPr="002C3B67">
        <w:rPr>
          <w:rFonts w:ascii="Cambria" w:eastAsia="Cambria" w:hAnsi="Cambria" w:cs="Cambria"/>
          <w:b/>
          <w:color w:val="538DD4"/>
          <w:sz w:val="28"/>
          <w:szCs w:val="28"/>
          <w:lang w:val="fr-FR"/>
        </w:rPr>
        <w:t>l</w:t>
      </w:r>
      <w:r w:rsidRPr="002C3B67">
        <w:rPr>
          <w:rFonts w:ascii="Cambria" w:eastAsia="Cambria" w:hAnsi="Cambria" w:cs="Cambria"/>
          <w:b/>
          <w:color w:val="538DD4"/>
          <w:spacing w:val="-1"/>
          <w:sz w:val="28"/>
          <w:szCs w:val="28"/>
          <w:lang w:val="fr-FR"/>
        </w:rPr>
        <w:t>op</w:t>
      </w:r>
      <w:r w:rsidRPr="002C3B67">
        <w:rPr>
          <w:rFonts w:ascii="Cambria" w:eastAsia="Cambria" w:hAnsi="Cambria" w:cs="Cambria"/>
          <w:b/>
          <w:color w:val="538DD4"/>
          <w:spacing w:val="1"/>
          <w:sz w:val="28"/>
          <w:szCs w:val="28"/>
          <w:lang w:val="fr-FR"/>
        </w:rPr>
        <w:t>pe</w:t>
      </w:r>
      <w:r w:rsidRPr="002C3B67">
        <w:rPr>
          <w:rFonts w:ascii="Cambria" w:eastAsia="Cambria" w:hAnsi="Cambria" w:cs="Cambria"/>
          <w:b/>
          <w:color w:val="538DD4"/>
          <w:spacing w:val="-1"/>
          <w:sz w:val="28"/>
          <w:szCs w:val="28"/>
          <w:lang w:val="fr-FR"/>
        </w:rPr>
        <w:t>m</w:t>
      </w:r>
      <w:r w:rsidRPr="002C3B67">
        <w:rPr>
          <w:rFonts w:ascii="Cambria" w:eastAsia="Cambria" w:hAnsi="Cambria" w:cs="Cambria"/>
          <w:b/>
          <w:color w:val="538DD4"/>
          <w:spacing w:val="1"/>
          <w:sz w:val="28"/>
          <w:szCs w:val="28"/>
          <w:lang w:val="fr-FR"/>
        </w:rPr>
        <w:t>en</w:t>
      </w:r>
      <w:r w:rsidRPr="002C3B67">
        <w:rPr>
          <w:rFonts w:ascii="Cambria" w:eastAsia="Cambria" w:hAnsi="Cambria" w:cs="Cambria"/>
          <w:b/>
          <w:color w:val="538DD4"/>
          <w:sz w:val="28"/>
          <w:szCs w:val="28"/>
          <w:lang w:val="fr-FR"/>
        </w:rPr>
        <w:t>t</w:t>
      </w:r>
      <w:r w:rsidRPr="002C3B67">
        <w:rPr>
          <w:b/>
          <w:color w:val="538DD4"/>
          <w:spacing w:val="-24"/>
          <w:sz w:val="28"/>
          <w:szCs w:val="28"/>
          <w:lang w:val="fr-FR"/>
        </w:rPr>
        <w:t xml:space="preserve"> </w:t>
      </w:r>
      <w:r w:rsidRPr="002C3B67">
        <w:rPr>
          <w:rFonts w:ascii="Cambria" w:eastAsia="Cambria" w:hAnsi="Cambria" w:cs="Cambria"/>
          <w:b/>
          <w:color w:val="538DD4"/>
          <w:spacing w:val="1"/>
          <w:sz w:val="28"/>
          <w:szCs w:val="28"/>
          <w:lang w:val="fr-FR"/>
        </w:rPr>
        <w:t>p</w:t>
      </w:r>
      <w:r w:rsidRPr="002C3B67">
        <w:rPr>
          <w:rFonts w:ascii="Cambria" w:eastAsia="Cambria" w:hAnsi="Cambria" w:cs="Cambria"/>
          <w:b/>
          <w:color w:val="538DD4"/>
          <w:sz w:val="28"/>
          <w:szCs w:val="28"/>
          <w:lang w:val="fr-FR"/>
        </w:rPr>
        <w:t>s</w:t>
      </w:r>
      <w:r w:rsidRPr="002C3B67">
        <w:rPr>
          <w:rFonts w:ascii="Cambria" w:eastAsia="Cambria" w:hAnsi="Cambria" w:cs="Cambria"/>
          <w:b/>
          <w:color w:val="538DD4"/>
          <w:spacing w:val="1"/>
          <w:sz w:val="28"/>
          <w:szCs w:val="28"/>
          <w:lang w:val="fr-FR"/>
        </w:rPr>
        <w:t>y</w:t>
      </w:r>
      <w:r w:rsidRPr="002C3B67">
        <w:rPr>
          <w:rFonts w:ascii="Cambria" w:eastAsia="Cambria" w:hAnsi="Cambria" w:cs="Cambria"/>
          <w:b/>
          <w:color w:val="538DD4"/>
          <w:spacing w:val="-1"/>
          <w:sz w:val="28"/>
          <w:szCs w:val="28"/>
          <w:lang w:val="fr-FR"/>
        </w:rPr>
        <w:t>cho</w:t>
      </w:r>
      <w:r w:rsidRPr="002C3B67">
        <w:rPr>
          <w:rFonts w:ascii="Cambria" w:eastAsia="Cambria" w:hAnsi="Cambria" w:cs="Cambria"/>
          <w:b/>
          <w:color w:val="538DD4"/>
          <w:spacing w:val="1"/>
          <w:sz w:val="28"/>
          <w:szCs w:val="28"/>
          <w:lang w:val="fr-FR"/>
        </w:rPr>
        <w:t>m</w:t>
      </w:r>
      <w:r w:rsidRPr="002C3B67">
        <w:rPr>
          <w:rFonts w:ascii="Cambria" w:eastAsia="Cambria" w:hAnsi="Cambria" w:cs="Cambria"/>
          <w:b/>
          <w:color w:val="538DD4"/>
          <w:spacing w:val="-1"/>
          <w:sz w:val="28"/>
          <w:szCs w:val="28"/>
          <w:lang w:val="fr-FR"/>
        </w:rPr>
        <w:t>o</w:t>
      </w:r>
      <w:r w:rsidRPr="002C3B67">
        <w:rPr>
          <w:rFonts w:ascii="Cambria" w:eastAsia="Cambria" w:hAnsi="Cambria" w:cs="Cambria"/>
          <w:b/>
          <w:color w:val="538DD4"/>
          <w:spacing w:val="1"/>
          <w:sz w:val="28"/>
          <w:szCs w:val="28"/>
          <w:lang w:val="fr-FR"/>
        </w:rPr>
        <w:t>teu</w:t>
      </w:r>
      <w:r w:rsidRPr="002C3B67">
        <w:rPr>
          <w:rFonts w:ascii="Cambria" w:eastAsia="Cambria" w:hAnsi="Cambria" w:cs="Cambria"/>
          <w:b/>
          <w:color w:val="538DD4"/>
          <w:sz w:val="28"/>
          <w:szCs w:val="28"/>
          <w:lang w:val="fr-FR"/>
        </w:rPr>
        <w:t>r</w:t>
      </w:r>
      <w:r w:rsidRPr="002C3B67">
        <w:rPr>
          <w:b/>
          <w:color w:val="538DD4"/>
          <w:spacing w:val="60"/>
          <w:sz w:val="28"/>
          <w:szCs w:val="28"/>
          <w:lang w:val="fr-FR"/>
        </w:rPr>
        <w:t xml:space="preserve"> </w:t>
      </w:r>
      <w:r w:rsidRPr="002C3B67">
        <w:rPr>
          <w:rFonts w:ascii="Cambria" w:eastAsia="Cambria" w:hAnsi="Cambria" w:cs="Cambria"/>
          <w:b/>
          <w:color w:val="538DD4"/>
          <w:spacing w:val="1"/>
          <w:sz w:val="28"/>
          <w:szCs w:val="28"/>
          <w:lang w:val="fr-FR"/>
        </w:rPr>
        <w:t>d</w:t>
      </w:r>
      <w:r w:rsidRPr="002C3B67">
        <w:rPr>
          <w:rFonts w:ascii="Cambria" w:eastAsia="Cambria" w:hAnsi="Cambria" w:cs="Cambria"/>
          <w:b/>
          <w:color w:val="538DD4"/>
          <w:sz w:val="28"/>
          <w:szCs w:val="28"/>
          <w:lang w:val="fr-FR"/>
        </w:rPr>
        <w:t>e</w:t>
      </w:r>
      <w:r w:rsidRPr="002C3B67">
        <w:rPr>
          <w:b/>
          <w:color w:val="538DD4"/>
          <w:spacing w:val="-12"/>
          <w:sz w:val="28"/>
          <w:szCs w:val="28"/>
          <w:lang w:val="fr-FR"/>
        </w:rPr>
        <w:t xml:space="preserve"> </w:t>
      </w:r>
      <w:r w:rsidRPr="002C3B67">
        <w:rPr>
          <w:rFonts w:ascii="Cambria" w:eastAsia="Cambria" w:hAnsi="Cambria" w:cs="Cambria"/>
          <w:b/>
          <w:color w:val="538DD4"/>
          <w:sz w:val="28"/>
          <w:szCs w:val="28"/>
          <w:lang w:val="fr-FR"/>
        </w:rPr>
        <w:t>l</w:t>
      </w:r>
      <w:r w:rsidRPr="002C3B67">
        <w:rPr>
          <w:rFonts w:ascii="Cambria" w:eastAsia="Cambria" w:hAnsi="Cambria" w:cs="Cambria"/>
          <w:b/>
          <w:color w:val="538DD4"/>
          <w:spacing w:val="-3"/>
          <w:sz w:val="28"/>
          <w:szCs w:val="28"/>
          <w:lang w:val="fr-FR"/>
        </w:rPr>
        <w:t>’</w:t>
      </w:r>
      <w:r w:rsidRPr="002C3B67">
        <w:rPr>
          <w:rFonts w:ascii="Cambria" w:eastAsia="Cambria" w:hAnsi="Cambria" w:cs="Cambria"/>
          <w:b/>
          <w:color w:val="538DD4"/>
          <w:spacing w:val="1"/>
          <w:sz w:val="28"/>
          <w:szCs w:val="28"/>
          <w:lang w:val="fr-FR"/>
        </w:rPr>
        <w:t>en</w:t>
      </w:r>
      <w:r w:rsidRPr="002C3B67">
        <w:rPr>
          <w:rFonts w:ascii="Cambria" w:eastAsia="Cambria" w:hAnsi="Cambria" w:cs="Cambria"/>
          <w:b/>
          <w:color w:val="538DD4"/>
          <w:sz w:val="28"/>
          <w:szCs w:val="28"/>
          <w:lang w:val="fr-FR"/>
        </w:rPr>
        <w:t>f</w:t>
      </w:r>
      <w:r w:rsidRPr="002C3B67">
        <w:rPr>
          <w:rFonts w:ascii="Cambria" w:eastAsia="Cambria" w:hAnsi="Cambria" w:cs="Cambria"/>
          <w:b/>
          <w:color w:val="538DD4"/>
          <w:spacing w:val="-1"/>
          <w:sz w:val="28"/>
          <w:szCs w:val="28"/>
          <w:lang w:val="fr-FR"/>
        </w:rPr>
        <w:t>a</w:t>
      </w:r>
      <w:r w:rsidRPr="002C3B67">
        <w:rPr>
          <w:rFonts w:ascii="Cambria" w:eastAsia="Cambria" w:hAnsi="Cambria" w:cs="Cambria"/>
          <w:b/>
          <w:color w:val="538DD4"/>
          <w:spacing w:val="1"/>
          <w:sz w:val="28"/>
          <w:szCs w:val="28"/>
          <w:lang w:val="fr-FR"/>
        </w:rPr>
        <w:t>n</w:t>
      </w:r>
      <w:r w:rsidRPr="002C3B67">
        <w:rPr>
          <w:rFonts w:ascii="Cambria" w:eastAsia="Cambria" w:hAnsi="Cambria" w:cs="Cambria"/>
          <w:b/>
          <w:color w:val="538DD4"/>
          <w:sz w:val="28"/>
          <w:szCs w:val="28"/>
          <w:lang w:val="fr-FR"/>
        </w:rPr>
        <w:t>t</w:t>
      </w:r>
    </w:p>
    <w:p w:rsidR="00AB67B8" w:rsidRPr="002C3B67" w:rsidRDefault="00AB67B8" w:rsidP="002C3B67">
      <w:pPr>
        <w:pBdr>
          <w:bottom w:val="single" w:sz="4" w:space="1" w:color="auto"/>
        </w:pBdr>
        <w:spacing w:after="0"/>
        <w:jc w:val="center"/>
        <w:rPr>
          <w:b/>
          <w:smallCaps/>
          <w:sz w:val="24"/>
          <w:szCs w:val="24"/>
          <w:lang w:val="fr-BE"/>
        </w:rPr>
      </w:pPr>
      <w:r w:rsidRPr="002C3B67">
        <w:rPr>
          <w:b/>
          <w:smallCaps/>
          <w:sz w:val="24"/>
          <w:szCs w:val="24"/>
          <w:lang w:val="fr-BE"/>
        </w:rPr>
        <w:t>Termes de Référence</w:t>
      </w:r>
      <w:r w:rsidR="00E27498" w:rsidRPr="002C3B67">
        <w:rPr>
          <w:b/>
          <w:smallCaps/>
          <w:sz w:val="24"/>
          <w:szCs w:val="24"/>
          <w:lang w:val="fr-BE"/>
        </w:rPr>
        <w:t xml:space="preserve"> : </w:t>
      </w:r>
      <w:r w:rsidR="006B32B5">
        <w:rPr>
          <w:b/>
          <w:smallCaps/>
          <w:sz w:val="24"/>
          <w:szCs w:val="24"/>
          <w:lang w:val="fr-BE"/>
        </w:rPr>
        <w:t>consultant national</w:t>
      </w:r>
      <w:r w:rsidR="00E27498" w:rsidRPr="002C3B67">
        <w:rPr>
          <w:b/>
          <w:smallCaps/>
          <w:sz w:val="24"/>
          <w:szCs w:val="24"/>
          <w:lang w:val="fr-BE"/>
        </w:rPr>
        <w:t xml:space="preserve"> </w:t>
      </w:r>
      <w:r w:rsidR="006B32B5">
        <w:rPr>
          <w:b/>
          <w:smallCaps/>
          <w:sz w:val="24"/>
          <w:szCs w:val="24"/>
          <w:lang w:val="fr-BE"/>
        </w:rPr>
        <w:t xml:space="preserve">suivi de </w:t>
      </w:r>
      <w:r w:rsidR="00E27498" w:rsidRPr="002C3B67">
        <w:rPr>
          <w:b/>
          <w:smallCaps/>
          <w:sz w:val="24"/>
          <w:szCs w:val="24"/>
          <w:lang w:val="fr-BE"/>
        </w:rPr>
        <w:t>la mise en œuvre du projet</w:t>
      </w:r>
    </w:p>
    <w:p w:rsidR="00AB67B8" w:rsidRDefault="00AB67B8">
      <w:pPr>
        <w:rPr>
          <w:b/>
          <w:lang w:val="fr-BE"/>
        </w:rPr>
      </w:pPr>
      <w:r>
        <w:rPr>
          <w:b/>
          <w:lang w:val="fr-BE"/>
        </w:rPr>
        <w:t>Contexte</w:t>
      </w:r>
    </w:p>
    <w:p w:rsidR="00E27498" w:rsidRPr="00E27498" w:rsidRDefault="00E27498" w:rsidP="00E27498">
      <w:pPr>
        <w:jc w:val="both"/>
        <w:rPr>
          <w:lang w:val="fr-BE"/>
        </w:rPr>
      </w:pPr>
      <w:r w:rsidRPr="00E27498">
        <w:rPr>
          <w:lang w:val="fr-BE"/>
        </w:rPr>
        <w:t>Au Sénégal, la malnutrition demeure un important problème social et de santé publique qui touche une grande partie de la population. La sous nutrition chronique ou retard de croissance, peut arriver à 30% dans certaines régions et est de 8% dans la vie de Dakar. Dans l’ensemble, la malnutrition aiguë touche 9% des enfants de moins de 5 ans avec 1,2% de formes sévères</w:t>
      </w:r>
      <w:r>
        <w:rPr>
          <w:lang w:val="fr-BE"/>
        </w:rPr>
        <w:t>.</w:t>
      </w:r>
    </w:p>
    <w:p w:rsidR="00E27498" w:rsidRPr="00E27498" w:rsidRDefault="00E27498" w:rsidP="00E27498">
      <w:pPr>
        <w:jc w:val="both"/>
        <w:rPr>
          <w:lang w:val="fr-BE"/>
        </w:rPr>
      </w:pPr>
      <w:r w:rsidRPr="00E27498">
        <w:rPr>
          <w:lang w:val="fr-BE"/>
        </w:rPr>
        <w:t>MALINEA est un projet de recherche visant à comparer plusieurs stratégies de</w:t>
      </w:r>
      <w:r>
        <w:rPr>
          <w:lang w:val="fr-BE"/>
        </w:rPr>
        <w:t xml:space="preserve"> </w:t>
      </w:r>
      <w:r w:rsidRPr="00E27498">
        <w:rPr>
          <w:lang w:val="fr-BE"/>
        </w:rPr>
        <w:t>prise</w:t>
      </w:r>
      <w:r>
        <w:rPr>
          <w:lang w:val="fr-BE"/>
        </w:rPr>
        <w:t xml:space="preserve"> </w:t>
      </w:r>
      <w:r w:rsidRPr="00E27498">
        <w:rPr>
          <w:lang w:val="fr-BE"/>
        </w:rPr>
        <w:t>en</w:t>
      </w:r>
      <w:r>
        <w:rPr>
          <w:lang w:val="fr-BE"/>
        </w:rPr>
        <w:t xml:space="preserve"> </w:t>
      </w:r>
      <w:r w:rsidRPr="00E27498">
        <w:rPr>
          <w:lang w:val="fr-BE"/>
        </w:rPr>
        <w:t>charge</w:t>
      </w:r>
      <w:r w:rsidR="002C3B67">
        <w:rPr>
          <w:lang w:val="fr-BE"/>
        </w:rPr>
        <w:t xml:space="preserve"> </w:t>
      </w:r>
      <w:r w:rsidRPr="00E27498">
        <w:rPr>
          <w:lang w:val="fr-BE"/>
        </w:rPr>
        <w:t>de la malnutrition aigüe modérée chez des enfants de 6 à 24 mois à Madagascar, au Niger, en RCA et au Sénégal.</w:t>
      </w:r>
      <w:r w:rsidR="002C3B67">
        <w:rPr>
          <w:lang w:val="fr-BE"/>
        </w:rPr>
        <w:t xml:space="preserve"> Ce projet est porté par l’Institut Pasteur de Paris avec un financement du MAEDI et mis en œuvre avec le concours d’Action contre la Faim-Espagne (ACF-E) et du GRET au Sénégal.</w:t>
      </w:r>
      <w:r w:rsidRPr="00E27498">
        <w:rPr>
          <w:lang w:val="fr-BE"/>
        </w:rPr>
        <w:t xml:space="preserve"> </w:t>
      </w:r>
      <w:r w:rsidR="002C3B67">
        <w:rPr>
          <w:lang w:val="fr-BE"/>
        </w:rPr>
        <w:t xml:space="preserve">ACF-E grâce a obtenu un financement de la fondation ACF France afin d’évaluer </w:t>
      </w:r>
      <w:r w:rsidR="002C3B67" w:rsidRPr="00E27498">
        <w:rPr>
          <w:lang w:val="fr-BE"/>
        </w:rPr>
        <w:t xml:space="preserve">l’impact sur le développement psychomoteur de l’enfant </w:t>
      </w:r>
      <w:r w:rsidR="002C3B67">
        <w:rPr>
          <w:lang w:val="fr-BE"/>
        </w:rPr>
        <w:t>d</w:t>
      </w:r>
      <w:r w:rsidRPr="00E27498">
        <w:rPr>
          <w:lang w:val="fr-BE"/>
        </w:rPr>
        <w:t>ans le cadre de la deuxième composante de la recherche portant sur l’amélioration de la prise en charge des malnutritions aigües modérée</w:t>
      </w:r>
      <w:r w:rsidR="002C3B67">
        <w:rPr>
          <w:lang w:val="fr-BE"/>
        </w:rPr>
        <w:t xml:space="preserve">s. </w:t>
      </w:r>
    </w:p>
    <w:p w:rsidR="00084A91" w:rsidRDefault="00E27498" w:rsidP="0063519D">
      <w:pPr>
        <w:jc w:val="both"/>
        <w:rPr>
          <w:lang w:val="fr-BE"/>
        </w:rPr>
      </w:pPr>
      <w:r w:rsidRPr="00E27498">
        <w:rPr>
          <w:lang w:val="fr-BE"/>
        </w:rPr>
        <w:t>En effet, il a déjà été largement démontré dans la littérature scientifique que la malnutrition engendrait chez l’enfant un retard de développement et une atteinte spécifique ou globale des capacités cognitives. Des essais randomisés ont montré qu’une prise en charge nutritionnelle améliorait le développement cognitif et moteur des enfants malnutris. Il s’agit donc</w:t>
      </w:r>
      <w:r w:rsidR="00EC062F">
        <w:rPr>
          <w:lang w:val="fr-BE"/>
        </w:rPr>
        <w:t xml:space="preserve"> </w:t>
      </w:r>
      <w:r w:rsidRPr="00E27498">
        <w:rPr>
          <w:lang w:val="fr-BE"/>
        </w:rPr>
        <w:t>d’étudier  ce  volet  dans  le cadre  de  la  recherche MALINEA.</w:t>
      </w:r>
      <w:r w:rsidR="0063519D">
        <w:rPr>
          <w:lang w:val="fr-BE"/>
        </w:rPr>
        <w:t xml:space="preserve">   </w:t>
      </w:r>
      <w:r w:rsidR="00EC062F" w:rsidRPr="0088571B">
        <w:rPr>
          <w:rFonts w:ascii="Calibri" w:eastAsia="Calibri" w:hAnsi="Calibri" w:cs="Calibri"/>
          <w:lang w:val="fr-FR"/>
        </w:rPr>
        <w:t>La</w:t>
      </w:r>
      <w:r w:rsidR="00EC062F" w:rsidRPr="0088571B">
        <w:rPr>
          <w:spacing w:val="1"/>
          <w:lang w:val="fr-FR"/>
        </w:rPr>
        <w:t xml:space="preserve"> </w:t>
      </w:r>
      <w:r w:rsidR="00EC062F" w:rsidRPr="0088571B">
        <w:rPr>
          <w:rFonts w:ascii="Calibri" w:eastAsia="Calibri" w:hAnsi="Calibri" w:cs="Calibri"/>
          <w:lang w:val="fr-FR"/>
        </w:rPr>
        <w:t>c</w:t>
      </w:r>
      <w:r w:rsidR="00EC062F" w:rsidRPr="0088571B">
        <w:rPr>
          <w:rFonts w:ascii="Calibri" w:eastAsia="Calibri" w:hAnsi="Calibri" w:cs="Calibri"/>
          <w:spacing w:val="1"/>
          <w:lang w:val="fr-FR"/>
        </w:rPr>
        <w:t>oho</w:t>
      </w:r>
      <w:r w:rsidR="00EC062F" w:rsidRPr="0088571B">
        <w:rPr>
          <w:rFonts w:ascii="Calibri" w:eastAsia="Calibri" w:hAnsi="Calibri" w:cs="Calibri"/>
          <w:lang w:val="fr-FR"/>
        </w:rPr>
        <w:t>r</w:t>
      </w:r>
      <w:r w:rsidR="00EC062F" w:rsidRPr="0088571B">
        <w:rPr>
          <w:rFonts w:ascii="Calibri" w:eastAsia="Calibri" w:hAnsi="Calibri" w:cs="Calibri"/>
          <w:spacing w:val="1"/>
          <w:lang w:val="fr-FR"/>
        </w:rPr>
        <w:t>t</w:t>
      </w:r>
      <w:r w:rsidR="00EC062F" w:rsidRPr="0088571B">
        <w:rPr>
          <w:rFonts w:ascii="Calibri" w:eastAsia="Calibri" w:hAnsi="Calibri" w:cs="Calibri"/>
          <w:lang w:val="fr-FR"/>
        </w:rPr>
        <w:t>e</w:t>
      </w:r>
      <w:r w:rsidR="00EC062F" w:rsidRPr="0088571B">
        <w:rPr>
          <w:lang w:val="fr-FR"/>
        </w:rPr>
        <w:t xml:space="preserve"> </w:t>
      </w:r>
      <w:r w:rsidR="00EC062F" w:rsidRPr="0088571B">
        <w:rPr>
          <w:rFonts w:ascii="Calibri" w:eastAsia="Calibri" w:hAnsi="Calibri" w:cs="Calibri"/>
          <w:spacing w:val="1"/>
          <w:lang w:val="fr-FR"/>
        </w:rPr>
        <w:t>d</w:t>
      </w:r>
      <w:r w:rsidR="00EC062F" w:rsidRPr="0088571B">
        <w:rPr>
          <w:rFonts w:ascii="Calibri" w:eastAsia="Calibri" w:hAnsi="Calibri" w:cs="Calibri"/>
          <w:lang w:val="fr-FR"/>
        </w:rPr>
        <w:t>e</w:t>
      </w:r>
      <w:r w:rsidR="00EC062F" w:rsidRPr="0088571B">
        <w:rPr>
          <w:spacing w:val="2"/>
          <w:lang w:val="fr-FR"/>
        </w:rPr>
        <w:t xml:space="preserve"> </w:t>
      </w:r>
      <w:r w:rsidR="00EC062F" w:rsidRPr="0088571B">
        <w:rPr>
          <w:rFonts w:ascii="Calibri" w:eastAsia="Calibri" w:hAnsi="Calibri" w:cs="Calibri"/>
          <w:lang w:val="fr-FR"/>
        </w:rPr>
        <w:t>l</w:t>
      </w:r>
      <w:r w:rsidR="00EC062F" w:rsidRPr="0088571B">
        <w:rPr>
          <w:rFonts w:ascii="Calibri" w:eastAsia="Calibri" w:hAnsi="Calibri" w:cs="Calibri"/>
          <w:spacing w:val="1"/>
          <w:lang w:val="fr-FR"/>
        </w:rPr>
        <w:t>’</w:t>
      </w:r>
      <w:r w:rsidR="00EC062F" w:rsidRPr="0088571B">
        <w:rPr>
          <w:rFonts w:ascii="Calibri" w:eastAsia="Calibri" w:hAnsi="Calibri" w:cs="Calibri"/>
          <w:spacing w:val="-1"/>
          <w:lang w:val="fr-FR"/>
        </w:rPr>
        <w:t>é</w:t>
      </w:r>
      <w:r w:rsidR="00EC062F" w:rsidRPr="0088571B">
        <w:rPr>
          <w:rFonts w:ascii="Calibri" w:eastAsia="Calibri" w:hAnsi="Calibri" w:cs="Calibri"/>
          <w:spacing w:val="1"/>
          <w:lang w:val="fr-FR"/>
        </w:rPr>
        <w:t>tud</w:t>
      </w:r>
      <w:r w:rsidR="00EC062F" w:rsidRPr="0088571B">
        <w:rPr>
          <w:rFonts w:ascii="Calibri" w:eastAsia="Calibri" w:hAnsi="Calibri" w:cs="Calibri"/>
          <w:lang w:val="fr-FR"/>
        </w:rPr>
        <w:t>e</w:t>
      </w:r>
      <w:r w:rsidR="00EC062F" w:rsidRPr="0088571B">
        <w:rPr>
          <w:spacing w:val="4"/>
          <w:lang w:val="fr-FR"/>
        </w:rPr>
        <w:t xml:space="preserve"> </w:t>
      </w:r>
      <w:r w:rsidR="00EC062F" w:rsidRPr="0088571B">
        <w:rPr>
          <w:rFonts w:ascii="Calibri" w:eastAsia="Calibri" w:hAnsi="Calibri" w:cs="Calibri"/>
          <w:lang w:val="fr-FR"/>
        </w:rPr>
        <w:t>MALI</w:t>
      </w:r>
      <w:r w:rsidR="00EC062F" w:rsidRPr="0088571B">
        <w:rPr>
          <w:rFonts w:ascii="Calibri" w:eastAsia="Calibri" w:hAnsi="Calibri" w:cs="Calibri"/>
          <w:spacing w:val="1"/>
          <w:lang w:val="fr-FR"/>
        </w:rPr>
        <w:t>NE</w:t>
      </w:r>
      <w:r w:rsidR="00EC062F" w:rsidRPr="0088571B">
        <w:rPr>
          <w:rFonts w:ascii="Calibri" w:eastAsia="Calibri" w:hAnsi="Calibri" w:cs="Calibri"/>
          <w:lang w:val="fr-FR"/>
        </w:rPr>
        <w:t>A</w:t>
      </w:r>
      <w:r w:rsidR="00EC062F" w:rsidRPr="0088571B">
        <w:rPr>
          <w:lang w:val="fr-FR"/>
        </w:rPr>
        <w:t xml:space="preserve"> </w:t>
      </w:r>
      <w:r w:rsidR="00EC062F" w:rsidRPr="0088571B">
        <w:rPr>
          <w:rFonts w:ascii="Calibri" w:eastAsia="Calibri" w:hAnsi="Calibri" w:cs="Calibri"/>
          <w:spacing w:val="-1"/>
          <w:lang w:val="fr-FR"/>
        </w:rPr>
        <w:t>s</w:t>
      </w:r>
      <w:r w:rsidR="00EC062F" w:rsidRPr="0088571B">
        <w:rPr>
          <w:rFonts w:ascii="Calibri" w:eastAsia="Calibri" w:hAnsi="Calibri" w:cs="Calibri"/>
          <w:spacing w:val="1"/>
          <w:lang w:val="fr-FR"/>
        </w:rPr>
        <w:t>u</w:t>
      </w:r>
      <w:r w:rsidR="00EC062F" w:rsidRPr="0088571B">
        <w:rPr>
          <w:rFonts w:ascii="Calibri" w:eastAsia="Calibri" w:hAnsi="Calibri" w:cs="Calibri"/>
          <w:lang w:val="fr-FR"/>
        </w:rPr>
        <w:t>r</w:t>
      </w:r>
      <w:r w:rsidR="00EC062F" w:rsidRPr="0088571B">
        <w:rPr>
          <w:spacing w:val="3"/>
          <w:lang w:val="fr-FR"/>
        </w:rPr>
        <w:t xml:space="preserve"> </w:t>
      </w:r>
      <w:r w:rsidR="00EC062F" w:rsidRPr="0088571B">
        <w:rPr>
          <w:rFonts w:ascii="Calibri" w:eastAsia="Calibri" w:hAnsi="Calibri" w:cs="Calibri"/>
          <w:lang w:val="fr-FR"/>
        </w:rPr>
        <w:t>le</w:t>
      </w:r>
      <w:r w:rsidR="00EC062F" w:rsidRPr="0088571B">
        <w:rPr>
          <w:spacing w:val="2"/>
          <w:lang w:val="fr-FR"/>
        </w:rPr>
        <w:t xml:space="preserve"> </w:t>
      </w:r>
      <w:r w:rsidR="00EC062F" w:rsidRPr="0088571B">
        <w:rPr>
          <w:rFonts w:ascii="Calibri" w:eastAsia="Calibri" w:hAnsi="Calibri" w:cs="Calibri"/>
          <w:spacing w:val="-1"/>
          <w:lang w:val="fr-FR"/>
        </w:rPr>
        <w:t>v</w:t>
      </w:r>
      <w:r w:rsidR="00EC062F" w:rsidRPr="0088571B">
        <w:rPr>
          <w:rFonts w:ascii="Calibri" w:eastAsia="Calibri" w:hAnsi="Calibri" w:cs="Calibri"/>
          <w:spacing w:val="1"/>
          <w:lang w:val="fr-FR"/>
        </w:rPr>
        <w:t>o</w:t>
      </w:r>
      <w:r w:rsidR="00EC062F" w:rsidRPr="0088571B">
        <w:rPr>
          <w:rFonts w:ascii="Calibri" w:eastAsia="Calibri" w:hAnsi="Calibri" w:cs="Calibri"/>
          <w:spacing w:val="2"/>
          <w:lang w:val="fr-FR"/>
        </w:rPr>
        <w:t>l</w:t>
      </w:r>
      <w:r w:rsidR="00EC062F" w:rsidRPr="0088571B">
        <w:rPr>
          <w:rFonts w:ascii="Calibri" w:eastAsia="Calibri" w:hAnsi="Calibri" w:cs="Calibri"/>
          <w:spacing w:val="-1"/>
          <w:lang w:val="fr-FR"/>
        </w:rPr>
        <w:t>e</w:t>
      </w:r>
      <w:r w:rsidR="00EC062F" w:rsidRPr="0088571B">
        <w:rPr>
          <w:rFonts w:ascii="Calibri" w:eastAsia="Calibri" w:hAnsi="Calibri" w:cs="Calibri"/>
          <w:lang w:val="fr-FR"/>
        </w:rPr>
        <w:t>t</w:t>
      </w:r>
      <w:r w:rsidR="00EC062F" w:rsidRPr="0088571B">
        <w:rPr>
          <w:lang w:val="fr-FR"/>
        </w:rPr>
        <w:t xml:space="preserve"> </w:t>
      </w:r>
      <w:r w:rsidR="00EC062F" w:rsidRPr="0088571B">
        <w:rPr>
          <w:rFonts w:ascii="Calibri" w:eastAsia="Calibri" w:hAnsi="Calibri" w:cs="Calibri"/>
          <w:spacing w:val="1"/>
          <w:lang w:val="fr-FR"/>
        </w:rPr>
        <w:t>p</w:t>
      </w:r>
      <w:r w:rsidR="00EC062F" w:rsidRPr="0088571B">
        <w:rPr>
          <w:rFonts w:ascii="Calibri" w:eastAsia="Calibri" w:hAnsi="Calibri" w:cs="Calibri"/>
          <w:spacing w:val="-1"/>
          <w:lang w:val="fr-FR"/>
        </w:rPr>
        <w:t>s</w:t>
      </w:r>
      <w:r w:rsidR="00EC062F" w:rsidRPr="0088571B">
        <w:rPr>
          <w:rFonts w:ascii="Calibri" w:eastAsia="Calibri" w:hAnsi="Calibri" w:cs="Calibri"/>
          <w:spacing w:val="1"/>
          <w:lang w:val="fr-FR"/>
        </w:rPr>
        <w:t>y</w:t>
      </w:r>
      <w:r w:rsidR="00EC062F" w:rsidRPr="0088571B">
        <w:rPr>
          <w:rFonts w:ascii="Calibri" w:eastAsia="Calibri" w:hAnsi="Calibri" w:cs="Calibri"/>
          <w:lang w:val="fr-FR"/>
        </w:rPr>
        <w:t>c</w:t>
      </w:r>
      <w:r w:rsidR="00EC062F" w:rsidRPr="0088571B">
        <w:rPr>
          <w:rFonts w:ascii="Calibri" w:eastAsia="Calibri" w:hAnsi="Calibri" w:cs="Calibri"/>
          <w:spacing w:val="1"/>
          <w:lang w:val="fr-FR"/>
        </w:rPr>
        <w:t>ho</w:t>
      </w:r>
      <w:r w:rsidR="00EC062F" w:rsidRPr="0088571B">
        <w:rPr>
          <w:rFonts w:ascii="Calibri" w:eastAsia="Calibri" w:hAnsi="Calibri" w:cs="Calibri"/>
          <w:spacing w:val="-1"/>
          <w:lang w:val="fr-FR"/>
        </w:rPr>
        <w:t>m</w:t>
      </w:r>
      <w:r w:rsidR="00EC062F" w:rsidRPr="0088571B">
        <w:rPr>
          <w:rFonts w:ascii="Calibri" w:eastAsia="Calibri" w:hAnsi="Calibri" w:cs="Calibri"/>
          <w:spacing w:val="1"/>
          <w:lang w:val="fr-FR"/>
        </w:rPr>
        <w:t>ot</w:t>
      </w:r>
      <w:r w:rsidR="00EC062F" w:rsidRPr="0088571B">
        <w:rPr>
          <w:rFonts w:ascii="Calibri" w:eastAsia="Calibri" w:hAnsi="Calibri" w:cs="Calibri"/>
          <w:spacing w:val="-1"/>
          <w:lang w:val="fr-FR"/>
        </w:rPr>
        <w:t>e</w:t>
      </w:r>
      <w:r w:rsidR="00EC062F" w:rsidRPr="0088571B">
        <w:rPr>
          <w:rFonts w:ascii="Calibri" w:eastAsia="Calibri" w:hAnsi="Calibri" w:cs="Calibri"/>
          <w:spacing w:val="1"/>
          <w:lang w:val="fr-FR"/>
        </w:rPr>
        <w:t>u</w:t>
      </w:r>
      <w:r w:rsidR="00EC062F" w:rsidRPr="0088571B">
        <w:rPr>
          <w:rFonts w:ascii="Calibri" w:eastAsia="Calibri" w:hAnsi="Calibri" w:cs="Calibri"/>
          <w:lang w:val="fr-FR"/>
        </w:rPr>
        <w:t>r</w:t>
      </w:r>
      <w:r w:rsidR="00EC062F" w:rsidRPr="0088571B">
        <w:rPr>
          <w:spacing w:val="1"/>
          <w:lang w:val="fr-FR"/>
        </w:rPr>
        <w:t xml:space="preserve"> </w:t>
      </w:r>
      <w:r w:rsidR="00EC062F" w:rsidRPr="0088571B">
        <w:rPr>
          <w:rFonts w:ascii="Calibri" w:eastAsia="Calibri" w:hAnsi="Calibri" w:cs="Calibri"/>
          <w:spacing w:val="1"/>
          <w:lang w:val="fr-FR"/>
        </w:rPr>
        <w:t>po</w:t>
      </w:r>
      <w:r w:rsidR="00EC062F" w:rsidRPr="0088571B">
        <w:rPr>
          <w:rFonts w:ascii="Calibri" w:eastAsia="Calibri" w:hAnsi="Calibri" w:cs="Calibri"/>
          <w:lang w:val="fr-FR"/>
        </w:rPr>
        <w:t>r</w:t>
      </w:r>
      <w:r w:rsidR="00EC062F" w:rsidRPr="0088571B">
        <w:rPr>
          <w:rFonts w:ascii="Calibri" w:eastAsia="Calibri" w:hAnsi="Calibri" w:cs="Calibri"/>
          <w:spacing w:val="1"/>
          <w:lang w:val="fr-FR"/>
        </w:rPr>
        <w:t>t</w:t>
      </w:r>
      <w:r w:rsidR="00EC062F" w:rsidRPr="0088571B">
        <w:rPr>
          <w:rFonts w:ascii="Calibri" w:eastAsia="Calibri" w:hAnsi="Calibri" w:cs="Calibri"/>
          <w:spacing w:val="-1"/>
          <w:lang w:val="fr-FR"/>
        </w:rPr>
        <w:t>e</w:t>
      </w:r>
      <w:r w:rsidR="00EC062F" w:rsidRPr="0088571B">
        <w:rPr>
          <w:rFonts w:ascii="Calibri" w:eastAsia="Calibri" w:hAnsi="Calibri" w:cs="Calibri"/>
          <w:lang w:val="fr-FR"/>
        </w:rPr>
        <w:t>r</w:t>
      </w:r>
      <w:r w:rsidR="00EC062F" w:rsidRPr="0088571B">
        <w:rPr>
          <w:rFonts w:ascii="Calibri" w:eastAsia="Calibri" w:hAnsi="Calibri" w:cs="Calibri"/>
          <w:spacing w:val="1"/>
          <w:lang w:val="fr-FR"/>
        </w:rPr>
        <w:t>a</w:t>
      </w:r>
      <w:r w:rsidR="00EC062F" w:rsidRPr="0088571B">
        <w:rPr>
          <w:spacing w:val="4"/>
          <w:lang w:val="fr-FR"/>
        </w:rPr>
        <w:t xml:space="preserve"> </w:t>
      </w:r>
      <w:r w:rsidR="00EC062F" w:rsidRPr="0088571B">
        <w:rPr>
          <w:rFonts w:ascii="Calibri" w:eastAsia="Calibri" w:hAnsi="Calibri" w:cs="Calibri"/>
          <w:spacing w:val="-1"/>
          <w:lang w:val="fr-FR"/>
        </w:rPr>
        <w:t>s</w:t>
      </w:r>
      <w:r w:rsidR="00EC062F" w:rsidRPr="0088571B">
        <w:rPr>
          <w:rFonts w:ascii="Calibri" w:eastAsia="Calibri" w:hAnsi="Calibri" w:cs="Calibri"/>
          <w:spacing w:val="1"/>
          <w:lang w:val="fr-FR"/>
        </w:rPr>
        <w:t>u</w:t>
      </w:r>
      <w:r w:rsidR="00EC062F" w:rsidRPr="0088571B">
        <w:rPr>
          <w:rFonts w:ascii="Calibri" w:eastAsia="Calibri" w:hAnsi="Calibri" w:cs="Calibri"/>
          <w:lang w:val="fr-FR"/>
        </w:rPr>
        <w:t>r</w:t>
      </w:r>
      <w:r w:rsidR="00EC062F" w:rsidRPr="0088571B">
        <w:rPr>
          <w:spacing w:val="3"/>
          <w:lang w:val="fr-FR"/>
        </w:rPr>
        <w:t xml:space="preserve"> </w:t>
      </w:r>
      <w:r w:rsidR="007F42CD">
        <w:rPr>
          <w:rFonts w:ascii="Calibri" w:eastAsia="Calibri" w:hAnsi="Calibri" w:cs="Calibri"/>
          <w:lang w:val="fr-FR"/>
        </w:rPr>
        <w:t xml:space="preserve">240 enfants âgés </w:t>
      </w:r>
      <w:r w:rsidR="00EC062F" w:rsidRPr="0088571B">
        <w:rPr>
          <w:rFonts w:ascii="Calibri" w:eastAsia="Calibri" w:hAnsi="Calibri" w:cs="Calibri"/>
          <w:spacing w:val="1"/>
          <w:lang w:val="fr-FR"/>
        </w:rPr>
        <w:t>d</w:t>
      </w:r>
      <w:r w:rsidR="00EC062F" w:rsidRPr="0088571B">
        <w:rPr>
          <w:rFonts w:ascii="Calibri" w:eastAsia="Calibri" w:hAnsi="Calibri" w:cs="Calibri"/>
          <w:lang w:val="fr-FR"/>
        </w:rPr>
        <w:t>e</w:t>
      </w:r>
      <w:r w:rsidR="00EC062F" w:rsidRPr="0088571B">
        <w:rPr>
          <w:lang w:val="fr-FR"/>
        </w:rPr>
        <w:t xml:space="preserve"> </w:t>
      </w:r>
      <w:r w:rsidR="00EC062F" w:rsidRPr="0088571B">
        <w:rPr>
          <w:rFonts w:ascii="Calibri" w:eastAsia="Calibri" w:hAnsi="Calibri" w:cs="Calibri"/>
          <w:lang w:val="fr-FR"/>
        </w:rPr>
        <w:t>6</w:t>
      </w:r>
      <w:r w:rsidR="00EC062F" w:rsidRPr="0088571B">
        <w:rPr>
          <w:spacing w:val="1"/>
          <w:lang w:val="fr-FR"/>
        </w:rPr>
        <w:t xml:space="preserve"> </w:t>
      </w:r>
      <w:r w:rsidR="00EC062F" w:rsidRPr="0088571B">
        <w:rPr>
          <w:rFonts w:ascii="Calibri" w:eastAsia="Calibri" w:hAnsi="Calibri" w:cs="Calibri"/>
          <w:lang w:val="fr-FR"/>
        </w:rPr>
        <w:t>à</w:t>
      </w:r>
      <w:r w:rsidR="00EC062F" w:rsidRPr="0088571B">
        <w:rPr>
          <w:spacing w:val="1"/>
          <w:lang w:val="fr-FR"/>
        </w:rPr>
        <w:t xml:space="preserve"> </w:t>
      </w:r>
      <w:r w:rsidR="007F42CD">
        <w:rPr>
          <w:rFonts w:ascii="Calibri" w:eastAsia="Calibri" w:hAnsi="Calibri" w:cs="Calibri"/>
          <w:spacing w:val="2"/>
          <w:lang w:val="fr-FR"/>
        </w:rPr>
        <w:t>12</w:t>
      </w:r>
      <w:r w:rsidR="00EC062F" w:rsidRPr="0088571B">
        <w:rPr>
          <w:lang w:val="fr-FR"/>
        </w:rPr>
        <w:t xml:space="preserve"> </w:t>
      </w:r>
      <w:r w:rsidR="00EC062F" w:rsidRPr="0088571B">
        <w:rPr>
          <w:rFonts w:ascii="Calibri" w:eastAsia="Calibri" w:hAnsi="Calibri" w:cs="Calibri"/>
          <w:spacing w:val="-1"/>
          <w:lang w:val="fr-FR"/>
        </w:rPr>
        <w:t>m</w:t>
      </w:r>
      <w:r w:rsidR="00EC062F" w:rsidRPr="0088571B">
        <w:rPr>
          <w:rFonts w:ascii="Calibri" w:eastAsia="Calibri" w:hAnsi="Calibri" w:cs="Calibri"/>
          <w:spacing w:val="1"/>
          <w:lang w:val="fr-FR"/>
        </w:rPr>
        <w:t>o</w:t>
      </w:r>
      <w:r w:rsidR="00EC062F" w:rsidRPr="0088571B">
        <w:rPr>
          <w:rFonts w:ascii="Calibri" w:eastAsia="Calibri" w:hAnsi="Calibri" w:cs="Calibri"/>
          <w:lang w:val="fr-FR"/>
        </w:rPr>
        <w:t>i</w:t>
      </w:r>
      <w:r w:rsidR="00EC062F" w:rsidRPr="0088571B">
        <w:rPr>
          <w:rFonts w:ascii="Calibri" w:eastAsia="Calibri" w:hAnsi="Calibri" w:cs="Calibri"/>
          <w:spacing w:val="-1"/>
          <w:lang w:val="fr-FR"/>
        </w:rPr>
        <w:t>s</w:t>
      </w:r>
      <w:r w:rsidR="00EC062F" w:rsidRPr="0088571B">
        <w:rPr>
          <w:rFonts w:ascii="Calibri" w:eastAsia="Calibri" w:hAnsi="Calibri" w:cs="Calibri"/>
          <w:lang w:val="fr-FR"/>
        </w:rPr>
        <w:t>.</w:t>
      </w:r>
      <w:r w:rsidR="00EC062F" w:rsidRPr="0088571B">
        <w:rPr>
          <w:lang w:val="fr-FR"/>
        </w:rPr>
        <w:t xml:space="preserve"> </w:t>
      </w:r>
      <w:r w:rsidR="007F42CD">
        <w:rPr>
          <w:lang w:val="fr-BE"/>
        </w:rPr>
        <w:t>L’instrument</w:t>
      </w:r>
      <w:r w:rsidR="00EC062F" w:rsidRPr="00EC062F">
        <w:rPr>
          <w:lang w:val="fr-BE"/>
        </w:rPr>
        <w:t xml:space="preserve"> utilisé</w:t>
      </w:r>
      <w:r w:rsidR="002C3B67">
        <w:rPr>
          <w:lang w:val="fr-BE"/>
        </w:rPr>
        <w:t xml:space="preserve"> afin d’évaluer le développement psychomoteur des enfants enrôlés dans le volet psychomoteur sera</w:t>
      </w:r>
      <w:r w:rsidR="00EC062F" w:rsidRPr="00EC062F">
        <w:rPr>
          <w:lang w:val="fr-BE"/>
        </w:rPr>
        <w:t xml:space="preserve"> </w:t>
      </w:r>
      <w:r w:rsidR="002C3B67">
        <w:rPr>
          <w:lang w:val="fr-BE"/>
        </w:rPr>
        <w:t>« </w:t>
      </w:r>
      <w:r w:rsidR="00EC062F" w:rsidRPr="00EC062F">
        <w:rPr>
          <w:lang w:val="fr-BE"/>
        </w:rPr>
        <w:t>Ages and Stages Questionnaires (ASQ)</w:t>
      </w:r>
      <w:r w:rsidR="00EA42E3">
        <w:rPr>
          <w:lang w:val="fr-BE"/>
        </w:rPr>
        <w:t xml:space="preserve"> », déjà utilisé au Sénégal, </w:t>
      </w:r>
      <w:r w:rsidR="002C3B67">
        <w:rPr>
          <w:lang w:val="fr-BE"/>
        </w:rPr>
        <w:t>qui</w:t>
      </w:r>
      <w:r w:rsidR="002A30B2">
        <w:rPr>
          <w:lang w:val="fr-BE"/>
        </w:rPr>
        <w:t xml:space="preserve"> est un</w:t>
      </w:r>
      <w:r w:rsidR="00EC062F" w:rsidRPr="00EC062F">
        <w:rPr>
          <w:lang w:val="fr-BE"/>
        </w:rPr>
        <w:t xml:space="preserve"> test </w:t>
      </w:r>
      <w:r w:rsidR="00EA42E3">
        <w:rPr>
          <w:lang w:val="fr-BE"/>
        </w:rPr>
        <w:t xml:space="preserve">mesurant les stades de développement des </w:t>
      </w:r>
      <w:r w:rsidR="00EC062F" w:rsidRPr="00EC062F">
        <w:rPr>
          <w:lang w:val="fr-BE"/>
        </w:rPr>
        <w:t>enfants entre 1 et 59 mois.</w:t>
      </w:r>
      <w:r w:rsidR="00084A91">
        <w:rPr>
          <w:lang w:val="fr-BE"/>
        </w:rPr>
        <w:t xml:space="preserve"> </w:t>
      </w:r>
      <w:r w:rsidR="00EC062F" w:rsidRPr="00EC062F">
        <w:rPr>
          <w:lang w:val="fr-BE"/>
        </w:rPr>
        <w:t xml:space="preserve">Le développement psychomoteur sera mesuré à l’inclusion, à  </w:t>
      </w:r>
      <w:r w:rsidR="00084A91">
        <w:rPr>
          <w:lang w:val="fr-BE"/>
        </w:rPr>
        <w:t xml:space="preserve">3, </w:t>
      </w:r>
      <w:r w:rsidR="00EC062F" w:rsidRPr="00EC062F">
        <w:rPr>
          <w:lang w:val="fr-BE"/>
        </w:rPr>
        <w:t xml:space="preserve">6  et </w:t>
      </w:r>
      <w:r w:rsidR="002B0CFE">
        <w:rPr>
          <w:lang w:val="fr-BE"/>
        </w:rPr>
        <w:t xml:space="preserve"> 9 mois.</w:t>
      </w:r>
    </w:p>
    <w:p w:rsidR="00770C10" w:rsidRPr="00770C10" w:rsidRDefault="00770C10" w:rsidP="00770C10">
      <w:pPr>
        <w:pBdr>
          <w:bottom w:val="single" w:sz="4" w:space="1" w:color="auto"/>
        </w:pBdr>
        <w:jc w:val="both"/>
        <w:rPr>
          <w:lang w:val="fr-FR"/>
        </w:rPr>
      </w:pPr>
      <w:r w:rsidRPr="00770C10">
        <w:rPr>
          <w:lang w:val="fr-FR"/>
        </w:rPr>
        <w:t>Lieu et durée</w:t>
      </w:r>
    </w:p>
    <w:p w:rsidR="00770C10" w:rsidRDefault="00770C10" w:rsidP="00770C10">
      <w:pPr>
        <w:rPr>
          <w:lang w:val="fr-FR"/>
        </w:rPr>
      </w:pPr>
      <w:r w:rsidRPr="00770C10">
        <w:rPr>
          <w:lang w:val="fr-FR"/>
        </w:rPr>
        <w:t xml:space="preserve">Lieu : L’étude </w:t>
      </w:r>
      <w:r>
        <w:rPr>
          <w:lang w:val="fr-FR"/>
        </w:rPr>
        <w:t xml:space="preserve">se déroulera au Sénégal, à Dakar dans le District Sanitaire de Guédiawaye. </w:t>
      </w:r>
    </w:p>
    <w:p w:rsidR="009A1A80" w:rsidRDefault="00770C10" w:rsidP="00770C10">
      <w:pPr>
        <w:jc w:val="both"/>
        <w:rPr>
          <w:lang w:val="fr-FR"/>
        </w:rPr>
      </w:pPr>
      <w:r w:rsidRPr="00770C10">
        <w:rPr>
          <w:lang w:val="fr-FR"/>
        </w:rPr>
        <w:t>Durée : La consultance e</w:t>
      </w:r>
      <w:r w:rsidR="00BD6A49">
        <w:rPr>
          <w:lang w:val="fr-FR"/>
        </w:rPr>
        <w:t xml:space="preserve">st estimée pour une période de </w:t>
      </w:r>
      <w:r w:rsidR="00186083" w:rsidRPr="0023771B">
        <w:rPr>
          <w:lang w:val="fr-FR"/>
        </w:rPr>
        <w:t>25</w:t>
      </w:r>
      <w:r w:rsidRPr="00770C10">
        <w:rPr>
          <w:lang w:val="fr-FR"/>
        </w:rPr>
        <w:t xml:space="preserve"> jours </w:t>
      </w:r>
      <w:r w:rsidR="006F41B8">
        <w:rPr>
          <w:lang w:val="fr-FR"/>
        </w:rPr>
        <w:t xml:space="preserve">ouvrables </w:t>
      </w:r>
      <w:r w:rsidRPr="00770C10">
        <w:rPr>
          <w:lang w:val="fr-FR"/>
        </w:rPr>
        <w:t>qui seront répartis sur 1</w:t>
      </w:r>
      <w:r w:rsidR="007C0DDB">
        <w:rPr>
          <w:lang w:val="fr-FR"/>
        </w:rPr>
        <w:t>3</w:t>
      </w:r>
      <w:r w:rsidR="00A57154">
        <w:rPr>
          <w:lang w:val="fr-FR"/>
        </w:rPr>
        <w:t xml:space="preserve"> </w:t>
      </w:r>
      <w:r w:rsidRPr="00770C10">
        <w:rPr>
          <w:lang w:val="fr-FR"/>
        </w:rPr>
        <w:t>mois</w:t>
      </w:r>
      <w:r w:rsidR="00F77F35">
        <w:rPr>
          <w:lang w:val="fr-FR"/>
        </w:rPr>
        <w:t> </w:t>
      </w:r>
      <w:r w:rsidR="008A0077">
        <w:rPr>
          <w:lang w:val="fr-FR"/>
        </w:rPr>
        <w:t>entre Septembre</w:t>
      </w:r>
      <w:r w:rsidR="00A96D36">
        <w:rPr>
          <w:lang w:val="fr-FR"/>
        </w:rPr>
        <w:t xml:space="preserve"> 2016 et </w:t>
      </w:r>
      <w:r w:rsidR="007C0DDB">
        <w:rPr>
          <w:lang w:val="fr-FR"/>
        </w:rPr>
        <w:t>Octo</w:t>
      </w:r>
      <w:r w:rsidR="00CA6A58">
        <w:rPr>
          <w:lang w:val="fr-FR"/>
        </w:rPr>
        <w:t xml:space="preserve">bre 2017, </w:t>
      </w:r>
      <w:r w:rsidR="00F77F35">
        <w:rPr>
          <w:lang w:val="fr-FR"/>
        </w:rPr>
        <w:t>à partir de la d</w:t>
      </w:r>
      <w:r w:rsidR="003C1222">
        <w:rPr>
          <w:lang w:val="fr-FR"/>
        </w:rPr>
        <w:t>a</w:t>
      </w:r>
      <w:r w:rsidR="00CA6A58">
        <w:rPr>
          <w:lang w:val="fr-FR"/>
        </w:rPr>
        <w:t>te de signature du contrat.</w:t>
      </w:r>
    </w:p>
    <w:p w:rsidR="00F63706" w:rsidRDefault="00D16A86" w:rsidP="00EA0F93">
      <w:pPr>
        <w:spacing w:after="0"/>
        <w:jc w:val="both"/>
        <w:rPr>
          <w:lang w:val="fr-FR"/>
        </w:rPr>
      </w:pPr>
      <w:r>
        <w:rPr>
          <w:lang w:val="fr-FR"/>
        </w:rPr>
        <w:t>Détail des missions</w:t>
      </w:r>
      <w:r w:rsidR="0023771B">
        <w:rPr>
          <w:lang w:val="fr-FR"/>
        </w:rPr>
        <w:t xml:space="preserve"> (</w:t>
      </w:r>
      <w:r w:rsidR="006E516A" w:rsidRPr="0023771B">
        <w:rPr>
          <w:i/>
          <w:lang w:val="fr-FR"/>
        </w:rPr>
        <w:t>voir chronogramme en annexes</w:t>
      </w:r>
      <w:r w:rsidR="006E516A">
        <w:rPr>
          <w:lang w:val="fr-FR"/>
        </w:rPr>
        <w:t>)</w:t>
      </w:r>
      <w:r w:rsidR="00F63706">
        <w:rPr>
          <w:lang w:val="fr-FR"/>
        </w:rPr>
        <w:t xml:space="preserve">: </w:t>
      </w:r>
    </w:p>
    <w:p w:rsidR="009A1A80" w:rsidRDefault="009A1A80" w:rsidP="00EA0F93">
      <w:pPr>
        <w:spacing w:after="0"/>
        <w:jc w:val="both"/>
        <w:rPr>
          <w:lang w:val="fr-FR"/>
        </w:rPr>
      </w:pPr>
    </w:p>
    <w:p w:rsidR="001565C5" w:rsidRDefault="00F63706" w:rsidP="001565C5">
      <w:pPr>
        <w:spacing w:after="0"/>
        <w:jc w:val="both"/>
        <w:rPr>
          <w:lang w:val="fr-FR"/>
        </w:rPr>
      </w:pPr>
      <w:r>
        <w:rPr>
          <w:lang w:val="fr-FR"/>
        </w:rPr>
        <w:t>Il est prévu un suivi régulier</w:t>
      </w:r>
      <w:r w:rsidR="002A30B2">
        <w:rPr>
          <w:lang w:val="fr-FR"/>
        </w:rPr>
        <w:t xml:space="preserve"> sur le terrain</w:t>
      </w:r>
      <w:r>
        <w:rPr>
          <w:lang w:val="fr-FR"/>
        </w:rPr>
        <w:t xml:space="preserve"> à travers </w:t>
      </w:r>
      <w:r w:rsidR="00ED6AC6">
        <w:rPr>
          <w:lang w:val="fr-FR"/>
        </w:rPr>
        <w:t>la supervision des passations de l’ASQ par les enquêteurs</w:t>
      </w:r>
      <w:r w:rsidR="00EA0F93">
        <w:rPr>
          <w:lang w:val="fr-FR"/>
        </w:rPr>
        <w:t xml:space="preserve">. </w:t>
      </w:r>
    </w:p>
    <w:p w:rsidR="0016473D" w:rsidRDefault="002B0CA8" w:rsidP="0016473D">
      <w:pPr>
        <w:pStyle w:val="Paragraphedeliste"/>
        <w:numPr>
          <w:ilvl w:val="0"/>
          <w:numId w:val="5"/>
        </w:numPr>
        <w:spacing w:after="0"/>
        <w:jc w:val="both"/>
        <w:rPr>
          <w:lang w:val="fr-FR"/>
        </w:rPr>
      </w:pPr>
      <w:r>
        <w:rPr>
          <w:lang w:val="fr-FR"/>
        </w:rPr>
        <w:t>Mission N°1</w:t>
      </w:r>
      <w:r w:rsidR="00EA0F93" w:rsidRPr="0016473D">
        <w:rPr>
          <w:lang w:val="fr-FR"/>
        </w:rPr>
        <w:t xml:space="preserve"> : </w:t>
      </w:r>
      <w:r w:rsidR="0016473D" w:rsidRPr="0016473D">
        <w:rPr>
          <w:lang w:val="fr-FR"/>
        </w:rPr>
        <w:t xml:space="preserve">Traduction de l’ASQ en wolof et contrôle qualité </w:t>
      </w:r>
      <w:r w:rsidR="009A1A80">
        <w:rPr>
          <w:lang w:val="fr-FR"/>
        </w:rPr>
        <w:t>par une rétro-</w:t>
      </w:r>
      <w:r w:rsidR="0016473D" w:rsidRPr="0016473D">
        <w:rPr>
          <w:lang w:val="fr-FR"/>
        </w:rPr>
        <w:t>traduction.</w:t>
      </w:r>
      <w:r w:rsidR="00395929">
        <w:rPr>
          <w:lang w:val="fr-FR"/>
        </w:rPr>
        <w:t xml:space="preserve"> </w:t>
      </w:r>
      <w:r w:rsidR="00395929" w:rsidRPr="00395929">
        <w:rPr>
          <w:i/>
          <w:lang w:val="fr-FR"/>
        </w:rPr>
        <w:t>Début Septembre 2016</w:t>
      </w:r>
      <w:r w:rsidR="00395929">
        <w:rPr>
          <w:lang w:val="fr-FR"/>
        </w:rPr>
        <w:t xml:space="preserve"> (</w:t>
      </w:r>
      <w:r w:rsidR="00C75FA5">
        <w:rPr>
          <w:i/>
          <w:lang w:val="fr-FR"/>
        </w:rPr>
        <w:t>1</w:t>
      </w:r>
      <w:r w:rsidR="00395929" w:rsidRPr="00395929">
        <w:rPr>
          <w:i/>
          <w:lang w:val="fr-FR"/>
        </w:rPr>
        <w:t xml:space="preserve"> jour</w:t>
      </w:r>
      <w:r w:rsidR="00395929">
        <w:rPr>
          <w:lang w:val="fr-FR"/>
        </w:rPr>
        <w:t>)</w:t>
      </w:r>
    </w:p>
    <w:p w:rsidR="00EA0F93" w:rsidRPr="00395929" w:rsidRDefault="002B0CA8" w:rsidP="00395929">
      <w:pPr>
        <w:pStyle w:val="Paragraphedeliste"/>
        <w:numPr>
          <w:ilvl w:val="0"/>
          <w:numId w:val="5"/>
        </w:numPr>
        <w:spacing w:after="0"/>
        <w:jc w:val="both"/>
        <w:rPr>
          <w:lang w:val="fr-FR"/>
        </w:rPr>
      </w:pPr>
      <w:r>
        <w:rPr>
          <w:lang w:val="fr-FR"/>
        </w:rPr>
        <w:t>Mission N</w:t>
      </w:r>
      <w:r w:rsidRPr="0016473D">
        <w:rPr>
          <w:lang w:val="fr-FR"/>
        </w:rPr>
        <w:t>°</w:t>
      </w:r>
      <w:r>
        <w:rPr>
          <w:lang w:val="fr-FR"/>
        </w:rPr>
        <w:t xml:space="preserve">2 : </w:t>
      </w:r>
      <w:r w:rsidR="009A1A80">
        <w:rPr>
          <w:lang w:val="fr-FR"/>
        </w:rPr>
        <w:t>Participer à la phase pilote de validation</w:t>
      </w:r>
      <w:r w:rsidR="00E72BE9">
        <w:rPr>
          <w:lang w:val="fr-FR"/>
        </w:rPr>
        <w:t xml:space="preserve"> de l’ASQ</w:t>
      </w:r>
      <w:r w:rsidR="009A1A80">
        <w:rPr>
          <w:lang w:val="fr-FR"/>
        </w:rPr>
        <w:t xml:space="preserve"> lors de</w:t>
      </w:r>
      <w:r w:rsidR="00395929">
        <w:rPr>
          <w:lang w:val="fr-FR"/>
        </w:rPr>
        <w:t xml:space="preserve"> </w:t>
      </w:r>
      <w:r w:rsidR="008359B6">
        <w:rPr>
          <w:lang w:val="fr-FR"/>
        </w:rPr>
        <w:t xml:space="preserve">la </w:t>
      </w:r>
      <w:r w:rsidR="00395929">
        <w:rPr>
          <w:lang w:val="fr-FR"/>
        </w:rPr>
        <w:t>f</w:t>
      </w:r>
      <w:r w:rsidR="00EA0F93" w:rsidRPr="00395929">
        <w:rPr>
          <w:lang w:val="fr-FR"/>
        </w:rPr>
        <w:t xml:space="preserve">ormation des </w:t>
      </w:r>
      <w:r w:rsidR="00395929">
        <w:rPr>
          <w:lang w:val="fr-FR"/>
        </w:rPr>
        <w:t>enquêteurs ASQ</w:t>
      </w:r>
      <w:r w:rsidR="008359B6">
        <w:rPr>
          <w:i/>
          <w:lang w:val="fr-FR"/>
        </w:rPr>
        <w:t xml:space="preserve">. </w:t>
      </w:r>
      <w:r w:rsidR="00395929">
        <w:rPr>
          <w:i/>
          <w:lang w:val="fr-FR"/>
        </w:rPr>
        <w:t>Fin Septembre 2016</w:t>
      </w:r>
      <w:r w:rsidR="00EA11E4">
        <w:rPr>
          <w:i/>
          <w:lang w:val="fr-FR"/>
        </w:rPr>
        <w:t xml:space="preserve"> (3</w:t>
      </w:r>
      <w:r w:rsidR="008359B6">
        <w:rPr>
          <w:i/>
          <w:lang w:val="fr-FR"/>
        </w:rPr>
        <w:t xml:space="preserve"> jours)</w:t>
      </w:r>
    </w:p>
    <w:p w:rsidR="00A27B0B" w:rsidRDefault="00EA0F93" w:rsidP="00EA0F93">
      <w:pPr>
        <w:pStyle w:val="Paragraphedeliste"/>
        <w:numPr>
          <w:ilvl w:val="0"/>
          <w:numId w:val="5"/>
        </w:numPr>
        <w:jc w:val="both"/>
        <w:rPr>
          <w:lang w:val="fr-FR"/>
        </w:rPr>
      </w:pPr>
      <w:r>
        <w:rPr>
          <w:lang w:val="fr-FR"/>
        </w:rPr>
        <w:lastRenderedPageBreak/>
        <w:t>Mission N°3 :</w:t>
      </w:r>
      <w:r w:rsidR="00A27B0B">
        <w:rPr>
          <w:lang w:val="fr-FR"/>
        </w:rPr>
        <w:t xml:space="preserve"> Supervision régulière </w:t>
      </w:r>
      <w:r w:rsidR="0014404A">
        <w:rPr>
          <w:lang w:val="fr-FR"/>
        </w:rPr>
        <w:t>des enquêteurs :</w:t>
      </w:r>
      <w:r w:rsidR="00A037E7">
        <w:rPr>
          <w:lang w:val="fr-FR"/>
        </w:rPr>
        <w:t xml:space="preserve"> encadrement </w:t>
      </w:r>
      <w:r w:rsidR="0014404A">
        <w:rPr>
          <w:lang w:val="fr-FR"/>
        </w:rPr>
        <w:t>de</w:t>
      </w:r>
      <w:r w:rsidR="00A27B0B">
        <w:rPr>
          <w:lang w:val="fr-FR"/>
        </w:rPr>
        <w:t xml:space="preserve"> </w:t>
      </w:r>
      <w:r w:rsidR="0014404A">
        <w:rPr>
          <w:lang w:val="fr-FR"/>
        </w:rPr>
        <w:t>l’étudiant</w:t>
      </w:r>
      <w:r w:rsidR="00A037E7">
        <w:rPr>
          <w:lang w:val="fr-FR"/>
        </w:rPr>
        <w:t xml:space="preserve"> sur la passation </w:t>
      </w:r>
      <w:r w:rsidR="00A27B0B">
        <w:rPr>
          <w:lang w:val="fr-FR"/>
        </w:rPr>
        <w:t xml:space="preserve">de l’ASQ </w:t>
      </w:r>
      <w:r w:rsidR="009D2D75">
        <w:rPr>
          <w:lang w:val="fr-FR"/>
        </w:rPr>
        <w:t xml:space="preserve">au poste de santé de </w:t>
      </w:r>
      <w:r w:rsidR="006B5614">
        <w:rPr>
          <w:lang w:val="fr-FR"/>
        </w:rPr>
        <w:t>Guédi</w:t>
      </w:r>
      <w:r w:rsidR="007E2384">
        <w:rPr>
          <w:lang w:val="fr-FR"/>
        </w:rPr>
        <w:t>awaye</w:t>
      </w:r>
      <w:r w:rsidR="00734564">
        <w:rPr>
          <w:lang w:val="fr-FR"/>
        </w:rPr>
        <w:t xml:space="preserve"> </w:t>
      </w:r>
      <w:r w:rsidR="00F42111">
        <w:rPr>
          <w:lang w:val="fr-FR"/>
        </w:rPr>
        <w:t xml:space="preserve">ainsi que </w:t>
      </w:r>
      <w:r w:rsidR="0063519D">
        <w:rPr>
          <w:lang w:val="fr-FR"/>
        </w:rPr>
        <w:t xml:space="preserve">lors des visites </w:t>
      </w:r>
      <w:r w:rsidR="00734564">
        <w:rPr>
          <w:lang w:val="fr-FR"/>
        </w:rPr>
        <w:t>à domicile</w:t>
      </w:r>
      <w:r w:rsidR="0014404A">
        <w:rPr>
          <w:lang w:val="fr-FR"/>
        </w:rPr>
        <w:t>, lien avec le saisisseur de données</w:t>
      </w:r>
      <w:r w:rsidR="00A27B0B">
        <w:rPr>
          <w:lang w:val="fr-FR"/>
        </w:rPr>
        <w:t xml:space="preserve">. </w:t>
      </w:r>
      <w:r w:rsidR="00AE241A">
        <w:rPr>
          <w:i/>
          <w:lang w:val="fr-FR"/>
        </w:rPr>
        <w:t xml:space="preserve">Octobre </w:t>
      </w:r>
      <w:r w:rsidR="00F55A7C" w:rsidRPr="00F55A7C">
        <w:rPr>
          <w:i/>
          <w:lang w:val="fr-FR"/>
        </w:rPr>
        <w:t>2016</w:t>
      </w:r>
      <w:r w:rsidR="00F55A7C">
        <w:rPr>
          <w:lang w:val="fr-FR"/>
        </w:rPr>
        <w:t xml:space="preserve"> </w:t>
      </w:r>
      <w:r w:rsidR="00F55A7C" w:rsidRPr="00F55A7C">
        <w:rPr>
          <w:i/>
          <w:lang w:val="fr-FR"/>
        </w:rPr>
        <w:t>à Septembre 2017</w:t>
      </w:r>
      <w:r w:rsidR="009A1A80">
        <w:rPr>
          <w:lang w:val="fr-FR"/>
        </w:rPr>
        <w:t xml:space="preserve">  (</w:t>
      </w:r>
      <w:r w:rsidR="009A1A80" w:rsidRPr="009A1A80">
        <w:rPr>
          <w:i/>
          <w:lang w:val="fr-FR"/>
        </w:rPr>
        <w:t>1</w:t>
      </w:r>
      <w:r w:rsidR="002B4D4F">
        <w:rPr>
          <w:i/>
          <w:lang w:val="fr-FR"/>
        </w:rPr>
        <w:t>6</w:t>
      </w:r>
      <w:r w:rsidR="00C75FA5">
        <w:rPr>
          <w:i/>
          <w:lang w:val="fr-FR"/>
        </w:rPr>
        <w:t xml:space="preserve"> jours</w:t>
      </w:r>
      <w:r w:rsidR="00F55A7C">
        <w:rPr>
          <w:lang w:val="fr-FR"/>
        </w:rPr>
        <w:t>)</w:t>
      </w:r>
    </w:p>
    <w:p w:rsidR="009A1A80" w:rsidRPr="009A1A80" w:rsidRDefault="009A1A80" w:rsidP="00EA0F93">
      <w:pPr>
        <w:pStyle w:val="Paragraphedeliste"/>
        <w:numPr>
          <w:ilvl w:val="0"/>
          <w:numId w:val="5"/>
        </w:numPr>
        <w:jc w:val="both"/>
        <w:rPr>
          <w:i/>
          <w:lang w:val="fr-FR"/>
        </w:rPr>
      </w:pPr>
      <w:r>
        <w:rPr>
          <w:lang w:val="fr-FR"/>
        </w:rPr>
        <w:t xml:space="preserve">Mission N°4 : Participer à l’analyse des données avec la consultante internationale. </w:t>
      </w:r>
      <w:r w:rsidR="005D7432">
        <w:rPr>
          <w:i/>
          <w:lang w:val="fr-FR"/>
        </w:rPr>
        <w:t>Octobre- 2017</w:t>
      </w:r>
      <w:r w:rsidR="00D1432F">
        <w:rPr>
          <w:i/>
          <w:lang w:val="fr-FR"/>
        </w:rPr>
        <w:t xml:space="preserve"> (</w:t>
      </w:r>
      <w:r w:rsidR="002B4D4F">
        <w:rPr>
          <w:i/>
          <w:lang w:val="fr-FR"/>
        </w:rPr>
        <w:t>5</w:t>
      </w:r>
      <w:r>
        <w:rPr>
          <w:i/>
          <w:lang w:val="fr-FR"/>
        </w:rPr>
        <w:t xml:space="preserve"> jours)</w:t>
      </w:r>
    </w:p>
    <w:p w:rsidR="00770C10" w:rsidRPr="00770C10" w:rsidRDefault="00770C10" w:rsidP="00770C10">
      <w:pPr>
        <w:autoSpaceDE w:val="0"/>
        <w:autoSpaceDN w:val="0"/>
        <w:adjustRightInd w:val="0"/>
        <w:spacing w:after="0" w:line="240" w:lineRule="auto"/>
        <w:jc w:val="both"/>
        <w:rPr>
          <w:lang w:val="fr-FR"/>
        </w:rPr>
      </w:pPr>
      <w:r w:rsidRPr="00770C10">
        <w:rPr>
          <w:lang w:val="fr-FR"/>
        </w:rPr>
        <w:t>Période</w:t>
      </w:r>
      <w:r w:rsidR="00136DA8">
        <w:rPr>
          <w:lang w:val="fr-FR"/>
        </w:rPr>
        <w:t xml:space="preserve"> du travail : Septembre</w:t>
      </w:r>
      <w:r w:rsidRPr="00770C10">
        <w:rPr>
          <w:lang w:val="fr-FR"/>
        </w:rPr>
        <w:t xml:space="preserve"> 2016 à </w:t>
      </w:r>
      <w:r w:rsidR="007C0DDB">
        <w:rPr>
          <w:lang w:val="fr-FR"/>
        </w:rPr>
        <w:t>Octo</w:t>
      </w:r>
      <w:r w:rsidR="00A57154">
        <w:rPr>
          <w:lang w:val="fr-FR"/>
        </w:rPr>
        <w:t>bre</w:t>
      </w:r>
      <w:r w:rsidRPr="00770C10">
        <w:rPr>
          <w:lang w:val="fr-FR"/>
        </w:rPr>
        <w:t xml:space="preserve"> 2017 </w:t>
      </w:r>
    </w:p>
    <w:p w:rsidR="00770C10" w:rsidRPr="002A30B2" w:rsidRDefault="00770C10" w:rsidP="00770C10">
      <w:pPr>
        <w:autoSpaceDE w:val="0"/>
        <w:autoSpaceDN w:val="0"/>
        <w:adjustRightInd w:val="0"/>
        <w:spacing w:after="0" w:line="240" w:lineRule="auto"/>
        <w:jc w:val="both"/>
        <w:rPr>
          <w:lang w:val="fr-FR"/>
        </w:rPr>
      </w:pPr>
    </w:p>
    <w:p w:rsidR="001039A6" w:rsidRDefault="001039A6" w:rsidP="00064628">
      <w:pPr>
        <w:pBdr>
          <w:bottom w:val="single" w:sz="4" w:space="1" w:color="auto"/>
        </w:pBdr>
        <w:jc w:val="both"/>
        <w:rPr>
          <w:lang w:val="fr-BE"/>
        </w:rPr>
      </w:pPr>
      <w:r>
        <w:rPr>
          <w:lang w:val="fr-BE"/>
        </w:rPr>
        <w:t>OBJECTIF</w:t>
      </w:r>
      <w:r w:rsidR="00064628">
        <w:rPr>
          <w:lang w:val="fr-BE"/>
        </w:rPr>
        <w:t xml:space="preserve"> de l</w:t>
      </w:r>
      <w:r w:rsidR="00DD7BE3">
        <w:rPr>
          <w:lang w:val="fr-BE"/>
        </w:rPr>
        <w:t>a consultanc</w:t>
      </w:r>
      <w:r w:rsidR="002544F0">
        <w:rPr>
          <w:lang w:val="fr-BE"/>
        </w:rPr>
        <w:t xml:space="preserve">e </w:t>
      </w:r>
    </w:p>
    <w:p w:rsidR="0018012C" w:rsidRDefault="00CF2219" w:rsidP="00CF2219">
      <w:pPr>
        <w:spacing w:after="0"/>
        <w:jc w:val="both"/>
        <w:rPr>
          <w:lang w:val="fr-BE"/>
        </w:rPr>
      </w:pPr>
      <w:r>
        <w:rPr>
          <w:lang w:val="fr-BE"/>
        </w:rPr>
        <w:t xml:space="preserve">Le/la consultant(e) </w:t>
      </w:r>
      <w:r w:rsidR="00556161">
        <w:rPr>
          <w:lang w:val="fr-BE"/>
        </w:rPr>
        <w:t xml:space="preserve">sera en charge de superviser </w:t>
      </w:r>
      <w:r w:rsidR="00AC4FA4">
        <w:rPr>
          <w:lang w:val="fr-BE"/>
        </w:rPr>
        <w:t xml:space="preserve">l’enquêteur </w:t>
      </w:r>
      <w:r w:rsidR="00556161">
        <w:rPr>
          <w:lang w:val="fr-BE"/>
        </w:rPr>
        <w:t>ASQ lors de visites</w:t>
      </w:r>
      <w:r w:rsidR="00641194">
        <w:rPr>
          <w:lang w:val="fr-BE"/>
        </w:rPr>
        <w:t xml:space="preserve"> terrain afin de</w:t>
      </w:r>
      <w:r w:rsidR="00533E7B">
        <w:rPr>
          <w:lang w:val="fr-BE"/>
        </w:rPr>
        <w:t xml:space="preserve"> garantir la qualité de la passation et de la cotation de l’ASQ  conformément aux standards définis lors de la formation</w:t>
      </w:r>
      <w:r w:rsidR="00556161">
        <w:rPr>
          <w:lang w:val="fr-BE"/>
        </w:rPr>
        <w:t xml:space="preserve"> </w:t>
      </w:r>
      <w:r w:rsidR="005D7432">
        <w:rPr>
          <w:lang w:val="fr-BE"/>
        </w:rPr>
        <w:t xml:space="preserve">et dans le guide de l’enquêteur </w:t>
      </w:r>
      <w:r w:rsidR="00AC4FA4">
        <w:rPr>
          <w:lang w:val="fr-BE"/>
        </w:rPr>
        <w:t>ASQ</w:t>
      </w:r>
      <w:r w:rsidR="00FC4A63">
        <w:rPr>
          <w:lang w:val="fr-BE"/>
        </w:rPr>
        <w:t xml:space="preserve">.  Le/la consultant(e) </w:t>
      </w:r>
      <w:r w:rsidR="005D7432">
        <w:rPr>
          <w:lang w:val="fr-BE"/>
        </w:rPr>
        <w:t>participer</w:t>
      </w:r>
      <w:r w:rsidR="00FC4A63">
        <w:rPr>
          <w:lang w:val="fr-BE"/>
        </w:rPr>
        <w:t>a également</w:t>
      </w:r>
      <w:r w:rsidR="005D7432">
        <w:rPr>
          <w:lang w:val="fr-BE"/>
        </w:rPr>
        <w:t xml:space="preserve"> à l’analyse des données recueillies.</w:t>
      </w:r>
    </w:p>
    <w:p w:rsidR="00CF2219" w:rsidRPr="002C3B67" w:rsidRDefault="00CF2219" w:rsidP="00CF2219">
      <w:pPr>
        <w:spacing w:after="0"/>
        <w:jc w:val="both"/>
        <w:rPr>
          <w:lang w:val="fr-BE"/>
        </w:rPr>
      </w:pPr>
    </w:p>
    <w:p w:rsidR="001039A6" w:rsidRPr="00064628" w:rsidRDefault="001039A6" w:rsidP="00064628">
      <w:pPr>
        <w:pBdr>
          <w:bottom w:val="single" w:sz="4" w:space="1" w:color="auto"/>
        </w:pBdr>
        <w:rPr>
          <w:smallCaps/>
          <w:sz w:val="24"/>
          <w:szCs w:val="24"/>
          <w:lang w:val="fr-BE"/>
        </w:rPr>
      </w:pPr>
      <w:r w:rsidRPr="00064628">
        <w:rPr>
          <w:smallCaps/>
          <w:sz w:val="24"/>
          <w:szCs w:val="24"/>
          <w:lang w:val="fr-BE"/>
        </w:rPr>
        <w:t xml:space="preserve">Résultats Attendus et </w:t>
      </w:r>
      <w:r w:rsidR="002C3B67" w:rsidRPr="00064628">
        <w:rPr>
          <w:smallCaps/>
          <w:sz w:val="24"/>
          <w:szCs w:val="24"/>
          <w:lang w:val="fr-BE"/>
        </w:rPr>
        <w:t>Livrables</w:t>
      </w:r>
    </w:p>
    <w:p w:rsidR="0018012C" w:rsidRPr="00825DFE" w:rsidRDefault="00E54518">
      <w:pPr>
        <w:rPr>
          <w:b/>
          <w:sz w:val="24"/>
          <w:szCs w:val="24"/>
          <w:lang w:val="fr-BE"/>
        </w:rPr>
      </w:pPr>
      <w:r>
        <w:rPr>
          <w:b/>
          <w:sz w:val="24"/>
          <w:szCs w:val="24"/>
          <w:lang w:val="fr-BE"/>
        </w:rPr>
        <w:t xml:space="preserve">Produits Attendus : </w:t>
      </w:r>
    </w:p>
    <w:p w:rsidR="00825DFE" w:rsidRDefault="00826BD1" w:rsidP="00825DFE">
      <w:pPr>
        <w:pStyle w:val="Paragraphedeliste"/>
        <w:numPr>
          <w:ilvl w:val="0"/>
          <w:numId w:val="4"/>
        </w:numPr>
        <w:jc w:val="both"/>
        <w:rPr>
          <w:lang w:val="fr-BE"/>
        </w:rPr>
      </w:pPr>
      <w:r w:rsidRPr="00826BD1">
        <w:rPr>
          <w:u w:val="single"/>
          <w:lang w:val="fr-BE"/>
        </w:rPr>
        <w:t>Produit 1 :</w:t>
      </w:r>
      <w:r>
        <w:rPr>
          <w:lang w:val="fr-BE"/>
        </w:rPr>
        <w:t xml:space="preserve"> </w:t>
      </w:r>
      <w:r w:rsidR="004B7BCF">
        <w:rPr>
          <w:lang w:val="fr-BE"/>
        </w:rPr>
        <w:t>ASQ</w:t>
      </w:r>
      <w:r w:rsidR="003B4AEF">
        <w:rPr>
          <w:lang w:val="fr-BE"/>
        </w:rPr>
        <w:t xml:space="preserve"> traduit et contre-traduit</w:t>
      </w:r>
      <w:r w:rsidR="004B7BCF">
        <w:rPr>
          <w:lang w:val="fr-BE"/>
        </w:rPr>
        <w:t xml:space="preserve"> en W</w:t>
      </w:r>
      <w:r w:rsidR="007F0D91">
        <w:rPr>
          <w:lang w:val="fr-BE"/>
        </w:rPr>
        <w:t>olof</w:t>
      </w:r>
      <w:r w:rsidR="003B4AEF">
        <w:rPr>
          <w:lang w:val="fr-BE"/>
        </w:rPr>
        <w:t>/français</w:t>
      </w:r>
      <w:r w:rsidR="00A96D36">
        <w:rPr>
          <w:lang w:val="fr-BE"/>
        </w:rPr>
        <w:t>, et adapté lors de la phase pilote</w:t>
      </w:r>
    </w:p>
    <w:p w:rsidR="00825DFE" w:rsidRDefault="00826BD1" w:rsidP="00825DFE">
      <w:pPr>
        <w:pStyle w:val="Paragraphedeliste"/>
        <w:numPr>
          <w:ilvl w:val="0"/>
          <w:numId w:val="4"/>
        </w:numPr>
        <w:jc w:val="both"/>
        <w:rPr>
          <w:lang w:val="fr-BE"/>
        </w:rPr>
      </w:pPr>
      <w:r>
        <w:rPr>
          <w:u w:val="single"/>
          <w:lang w:val="fr-BE"/>
        </w:rPr>
        <w:t>Produit 2</w:t>
      </w:r>
      <w:r w:rsidRPr="00826BD1">
        <w:rPr>
          <w:u w:val="single"/>
          <w:lang w:val="fr-BE"/>
        </w:rPr>
        <w:t> :</w:t>
      </w:r>
      <w:r w:rsidRPr="00826BD1">
        <w:rPr>
          <w:lang w:val="fr-BE"/>
        </w:rPr>
        <w:t xml:space="preserve"> </w:t>
      </w:r>
      <w:r w:rsidR="008B2E8D">
        <w:rPr>
          <w:lang w:val="fr-BE"/>
        </w:rPr>
        <w:t>R</w:t>
      </w:r>
      <w:r w:rsidR="002D1474">
        <w:rPr>
          <w:lang w:val="fr-BE"/>
        </w:rPr>
        <w:t>apport</w:t>
      </w:r>
      <w:r w:rsidR="001045FE">
        <w:rPr>
          <w:lang w:val="fr-BE"/>
        </w:rPr>
        <w:t>s</w:t>
      </w:r>
      <w:r w:rsidR="002D1474">
        <w:rPr>
          <w:lang w:val="fr-BE"/>
        </w:rPr>
        <w:t xml:space="preserve"> de visite incluant</w:t>
      </w:r>
      <w:r w:rsidR="001045FE">
        <w:rPr>
          <w:lang w:val="fr-BE"/>
        </w:rPr>
        <w:t xml:space="preserve"> : </w:t>
      </w:r>
      <w:r w:rsidR="002D1474">
        <w:rPr>
          <w:lang w:val="fr-BE"/>
        </w:rPr>
        <w:t xml:space="preserve">les </w:t>
      </w:r>
      <w:r w:rsidR="001045FE">
        <w:rPr>
          <w:lang w:val="fr-BE"/>
        </w:rPr>
        <w:t xml:space="preserve">observations et analyse des </w:t>
      </w:r>
      <w:r w:rsidR="002D1474">
        <w:rPr>
          <w:lang w:val="fr-BE"/>
        </w:rPr>
        <w:t>difficultés rencontrées par les équipes, les solutions apport</w:t>
      </w:r>
      <w:r w:rsidR="009E1CC6">
        <w:rPr>
          <w:lang w:val="fr-BE"/>
        </w:rPr>
        <w:t>ées ainsi qu’</w:t>
      </w:r>
      <w:r w:rsidR="001045FE">
        <w:rPr>
          <w:lang w:val="fr-BE"/>
        </w:rPr>
        <w:t>une analyse globale de l’avancement de l’étude</w:t>
      </w:r>
    </w:p>
    <w:p w:rsidR="00770C10" w:rsidRDefault="00826BD1" w:rsidP="00825DFE">
      <w:pPr>
        <w:pStyle w:val="Paragraphedeliste"/>
        <w:numPr>
          <w:ilvl w:val="0"/>
          <w:numId w:val="4"/>
        </w:numPr>
        <w:jc w:val="both"/>
        <w:rPr>
          <w:lang w:val="fr-BE"/>
        </w:rPr>
      </w:pPr>
      <w:r w:rsidRPr="00826BD1">
        <w:rPr>
          <w:u w:val="single"/>
          <w:lang w:val="fr-BE"/>
        </w:rPr>
        <w:t>Produit</w:t>
      </w:r>
      <w:r w:rsidR="00A04695">
        <w:rPr>
          <w:u w:val="single"/>
          <w:lang w:val="fr-BE"/>
        </w:rPr>
        <w:t xml:space="preserve"> </w:t>
      </w:r>
      <w:r>
        <w:rPr>
          <w:u w:val="single"/>
          <w:lang w:val="fr-BE"/>
        </w:rPr>
        <w:t xml:space="preserve">3 </w:t>
      </w:r>
      <w:r w:rsidRPr="00826BD1">
        <w:rPr>
          <w:u w:val="single"/>
          <w:lang w:val="fr-BE"/>
        </w:rPr>
        <w:t>:</w:t>
      </w:r>
      <w:r w:rsidRPr="00826BD1">
        <w:rPr>
          <w:lang w:val="fr-BE"/>
        </w:rPr>
        <w:t xml:space="preserve"> </w:t>
      </w:r>
      <w:r w:rsidR="00286F7B">
        <w:rPr>
          <w:lang w:val="fr-BE"/>
        </w:rPr>
        <w:t>Rapport d’a</w:t>
      </w:r>
      <w:r w:rsidR="00A96D36">
        <w:rPr>
          <w:lang w:val="fr-BE"/>
        </w:rPr>
        <w:t>nalyse des données avec la consultante internationale</w:t>
      </w:r>
    </w:p>
    <w:p w:rsidR="00B518B7" w:rsidRDefault="00B518B7" w:rsidP="00B518B7">
      <w:pPr>
        <w:pBdr>
          <w:bottom w:val="single" w:sz="4" w:space="1" w:color="auto"/>
        </w:pBdr>
        <w:rPr>
          <w:smallCaps/>
          <w:sz w:val="28"/>
          <w:szCs w:val="28"/>
          <w:lang w:val="fr-BE"/>
        </w:rPr>
      </w:pPr>
      <w:r w:rsidRPr="00B518B7">
        <w:rPr>
          <w:smallCaps/>
          <w:sz w:val="28"/>
          <w:szCs w:val="28"/>
          <w:lang w:val="fr-BE"/>
        </w:rPr>
        <w:t>Pilotage et Appui à l’étude</w:t>
      </w:r>
    </w:p>
    <w:p w:rsidR="00B518B7" w:rsidRDefault="00B518B7" w:rsidP="00B24D6E">
      <w:pPr>
        <w:jc w:val="both"/>
        <w:rPr>
          <w:szCs w:val="28"/>
          <w:lang w:val="fr-BE"/>
        </w:rPr>
      </w:pPr>
      <w:r w:rsidRPr="00B518B7">
        <w:rPr>
          <w:szCs w:val="28"/>
          <w:lang w:val="fr-BE"/>
        </w:rPr>
        <w:t>L’étude sera suivi</w:t>
      </w:r>
      <w:r>
        <w:rPr>
          <w:szCs w:val="28"/>
          <w:lang w:val="fr-BE"/>
        </w:rPr>
        <w:t>e</w:t>
      </w:r>
      <w:r w:rsidRPr="00B518B7">
        <w:rPr>
          <w:szCs w:val="28"/>
          <w:lang w:val="fr-BE"/>
        </w:rPr>
        <w:t xml:space="preserve"> et piloté</w:t>
      </w:r>
      <w:r w:rsidR="00B24D6E">
        <w:rPr>
          <w:szCs w:val="28"/>
          <w:lang w:val="fr-BE"/>
        </w:rPr>
        <w:t>e par la Coordinatrice médico-nutritionnelle</w:t>
      </w:r>
      <w:r>
        <w:rPr>
          <w:szCs w:val="28"/>
          <w:lang w:val="fr-BE"/>
        </w:rPr>
        <w:t xml:space="preserve"> de la M</w:t>
      </w:r>
      <w:r w:rsidRPr="00B518B7">
        <w:rPr>
          <w:szCs w:val="28"/>
          <w:lang w:val="fr-BE"/>
        </w:rPr>
        <w:t>ission</w:t>
      </w:r>
      <w:r w:rsidR="00B24D6E">
        <w:rPr>
          <w:szCs w:val="28"/>
          <w:lang w:val="fr-BE"/>
        </w:rPr>
        <w:t xml:space="preserve"> ACF Sénégal, la responsable du WP2 du projet MALINEA (en charge de l’unité d’épidémiologie de l’Institut Pasteur de Dakar), le chef de projet MALINEA au Sénégal et le référent technique nutrition basé au Siège d’ACF-E à Madrid. L’équipe technique d’ACF Paris sera associée à toutes les étapes du déroulement de l’étude. </w:t>
      </w:r>
    </w:p>
    <w:p w:rsidR="00B518B7" w:rsidRPr="00B24D6E" w:rsidRDefault="00B24D6E" w:rsidP="00B24D6E">
      <w:pPr>
        <w:pBdr>
          <w:bottom w:val="single" w:sz="4" w:space="1" w:color="auto"/>
        </w:pBdr>
        <w:jc w:val="both"/>
        <w:rPr>
          <w:smallCaps/>
          <w:sz w:val="28"/>
          <w:szCs w:val="28"/>
          <w:lang w:val="fr-BE"/>
        </w:rPr>
      </w:pPr>
      <w:r>
        <w:rPr>
          <w:smallCaps/>
          <w:sz w:val="28"/>
          <w:szCs w:val="28"/>
          <w:lang w:val="fr-BE"/>
        </w:rPr>
        <w:t xml:space="preserve">Profil de l’expert international </w:t>
      </w:r>
    </w:p>
    <w:p w:rsidR="00B24D6E" w:rsidRPr="00B24D6E" w:rsidRDefault="00F77A66" w:rsidP="00B24D6E">
      <w:pPr>
        <w:pStyle w:val="Paragraphedeliste"/>
        <w:numPr>
          <w:ilvl w:val="0"/>
          <w:numId w:val="6"/>
        </w:numPr>
        <w:spacing w:after="0" w:line="259" w:lineRule="auto"/>
        <w:jc w:val="both"/>
        <w:rPr>
          <w:szCs w:val="28"/>
          <w:lang w:val="fr-FR"/>
        </w:rPr>
      </w:pPr>
      <w:r>
        <w:rPr>
          <w:szCs w:val="28"/>
          <w:lang w:val="fr-FR"/>
        </w:rPr>
        <w:t>2</w:t>
      </w:r>
      <w:r w:rsidR="00E32857">
        <w:rPr>
          <w:szCs w:val="28"/>
          <w:lang w:val="fr-FR"/>
        </w:rPr>
        <w:t>5</w:t>
      </w:r>
      <w:r w:rsidR="00B24D6E" w:rsidRPr="00B24D6E">
        <w:rPr>
          <w:szCs w:val="28"/>
          <w:lang w:val="fr-FR"/>
        </w:rPr>
        <w:t xml:space="preserve"> jours de consultance non consécu</w:t>
      </w:r>
      <w:r w:rsidR="00B24D6E">
        <w:rPr>
          <w:szCs w:val="28"/>
          <w:lang w:val="fr-FR"/>
        </w:rPr>
        <w:t>tifs étalés sur une période de 1</w:t>
      </w:r>
      <w:r w:rsidR="007C0DDB">
        <w:rPr>
          <w:szCs w:val="28"/>
          <w:lang w:val="fr-FR"/>
        </w:rPr>
        <w:t>3</w:t>
      </w:r>
      <w:r>
        <w:rPr>
          <w:szCs w:val="28"/>
          <w:lang w:val="fr-FR"/>
        </w:rPr>
        <w:t xml:space="preserve"> </w:t>
      </w:r>
      <w:r w:rsidR="00B24D6E" w:rsidRPr="00B24D6E">
        <w:rPr>
          <w:szCs w:val="28"/>
          <w:lang w:val="fr-FR"/>
        </w:rPr>
        <w:t>mois</w:t>
      </w:r>
    </w:p>
    <w:p w:rsidR="00B24D6E" w:rsidRPr="00B24D6E" w:rsidRDefault="00B24D6E" w:rsidP="00B24D6E">
      <w:pPr>
        <w:numPr>
          <w:ilvl w:val="0"/>
          <w:numId w:val="6"/>
        </w:numPr>
        <w:spacing w:after="0" w:line="240" w:lineRule="auto"/>
        <w:jc w:val="both"/>
        <w:rPr>
          <w:szCs w:val="28"/>
          <w:lang w:val="fr-FR"/>
        </w:rPr>
      </w:pPr>
      <w:r w:rsidRPr="00B24D6E">
        <w:rPr>
          <w:szCs w:val="28"/>
          <w:lang w:val="fr-FR"/>
        </w:rPr>
        <w:t xml:space="preserve">Formation </w:t>
      </w:r>
      <w:r>
        <w:rPr>
          <w:szCs w:val="28"/>
          <w:lang w:val="fr-FR"/>
        </w:rPr>
        <w:t>en psychomotricité / Développement psychomoteur des enfants / Psychologie ou tout autre domaine connexe</w:t>
      </w:r>
    </w:p>
    <w:p w:rsidR="00B24D6E" w:rsidRDefault="00B24D6E" w:rsidP="00B24D6E">
      <w:pPr>
        <w:pStyle w:val="Paragraphedeliste"/>
        <w:numPr>
          <w:ilvl w:val="0"/>
          <w:numId w:val="6"/>
        </w:numPr>
        <w:spacing w:after="0" w:line="240" w:lineRule="auto"/>
        <w:jc w:val="both"/>
        <w:rPr>
          <w:szCs w:val="28"/>
          <w:lang w:val="fr-FR"/>
        </w:rPr>
      </w:pPr>
      <w:r w:rsidRPr="00B24D6E">
        <w:rPr>
          <w:szCs w:val="28"/>
          <w:lang w:val="fr-FR"/>
        </w:rPr>
        <w:t xml:space="preserve">Expérience éprouvée des projets de recherche ou d’étude dans les pays en développement </w:t>
      </w:r>
    </w:p>
    <w:p w:rsidR="00B24D6E" w:rsidRPr="00B24D6E" w:rsidRDefault="00B24D6E" w:rsidP="00B24D6E">
      <w:pPr>
        <w:pStyle w:val="Paragraphedeliste"/>
        <w:numPr>
          <w:ilvl w:val="0"/>
          <w:numId w:val="6"/>
        </w:numPr>
        <w:spacing w:after="0" w:line="240" w:lineRule="auto"/>
        <w:jc w:val="both"/>
        <w:rPr>
          <w:szCs w:val="28"/>
          <w:lang w:val="fr-FR"/>
        </w:rPr>
      </w:pPr>
      <w:r>
        <w:rPr>
          <w:szCs w:val="28"/>
          <w:lang w:val="fr-FR"/>
        </w:rPr>
        <w:t xml:space="preserve">Expérience de travail avec des organisations humanitaires dans le domaine de l’étude </w:t>
      </w:r>
    </w:p>
    <w:p w:rsidR="00B24D6E" w:rsidRPr="00B24D6E" w:rsidRDefault="00B24D6E" w:rsidP="00B24D6E">
      <w:pPr>
        <w:pStyle w:val="Paragraphedeliste"/>
        <w:numPr>
          <w:ilvl w:val="0"/>
          <w:numId w:val="6"/>
        </w:numPr>
        <w:spacing w:after="0" w:line="240" w:lineRule="auto"/>
        <w:jc w:val="both"/>
        <w:rPr>
          <w:szCs w:val="28"/>
          <w:lang w:val="fr-FR"/>
        </w:rPr>
      </w:pPr>
      <w:r w:rsidRPr="00B24D6E">
        <w:rPr>
          <w:szCs w:val="28"/>
          <w:lang w:val="fr-FR"/>
        </w:rPr>
        <w:t>Forte capacité à trouver, absorber, analyser, hiérarchiser et synthétiser les informations</w:t>
      </w:r>
    </w:p>
    <w:p w:rsidR="00B24D6E" w:rsidRPr="00B24D6E" w:rsidRDefault="00B24D6E" w:rsidP="00B24D6E">
      <w:pPr>
        <w:pStyle w:val="Paragraphedeliste"/>
        <w:numPr>
          <w:ilvl w:val="0"/>
          <w:numId w:val="6"/>
        </w:numPr>
        <w:spacing w:after="0" w:line="240" w:lineRule="auto"/>
        <w:jc w:val="both"/>
        <w:rPr>
          <w:szCs w:val="28"/>
          <w:lang w:val="fr-FR"/>
        </w:rPr>
      </w:pPr>
      <w:r w:rsidRPr="00B24D6E">
        <w:rPr>
          <w:szCs w:val="28"/>
          <w:lang w:val="fr-FR"/>
        </w:rPr>
        <w:t>Français oral et écrit courant</w:t>
      </w:r>
    </w:p>
    <w:p w:rsidR="00B24D6E" w:rsidRPr="00B24D6E" w:rsidRDefault="00B24D6E" w:rsidP="00B24D6E">
      <w:pPr>
        <w:pStyle w:val="Paragraphedeliste"/>
        <w:numPr>
          <w:ilvl w:val="0"/>
          <w:numId w:val="6"/>
        </w:numPr>
        <w:spacing w:after="0" w:line="240" w:lineRule="auto"/>
        <w:jc w:val="both"/>
        <w:rPr>
          <w:szCs w:val="28"/>
          <w:lang w:val="fr-FR"/>
        </w:rPr>
      </w:pPr>
      <w:r>
        <w:rPr>
          <w:szCs w:val="28"/>
          <w:lang w:val="fr-FR"/>
        </w:rPr>
        <w:t xml:space="preserve">Connaissance de la méthode ASQ </w:t>
      </w:r>
    </w:p>
    <w:p w:rsidR="00B24D6E" w:rsidRPr="00B24D6E" w:rsidRDefault="00B24D6E" w:rsidP="00B24D6E">
      <w:pPr>
        <w:numPr>
          <w:ilvl w:val="0"/>
          <w:numId w:val="6"/>
        </w:numPr>
        <w:autoSpaceDE w:val="0"/>
        <w:autoSpaceDN w:val="0"/>
        <w:adjustRightInd w:val="0"/>
        <w:spacing w:after="0" w:line="240" w:lineRule="auto"/>
        <w:jc w:val="both"/>
        <w:rPr>
          <w:szCs w:val="28"/>
          <w:lang w:val="fr-FR"/>
        </w:rPr>
      </w:pPr>
      <w:r w:rsidRPr="00B24D6E">
        <w:rPr>
          <w:szCs w:val="28"/>
          <w:lang w:val="fr-FR"/>
        </w:rPr>
        <w:t>Très bonnes capacités communicationnelles et rédactionnelles</w:t>
      </w:r>
    </w:p>
    <w:p w:rsidR="00D46A2B" w:rsidRDefault="00B24D6E" w:rsidP="00B24D6E">
      <w:pPr>
        <w:pStyle w:val="Paragraphedeliste"/>
        <w:numPr>
          <w:ilvl w:val="0"/>
          <w:numId w:val="6"/>
        </w:numPr>
        <w:spacing w:after="0" w:line="240" w:lineRule="auto"/>
        <w:jc w:val="both"/>
        <w:rPr>
          <w:szCs w:val="28"/>
          <w:lang w:val="fr-FR"/>
        </w:rPr>
      </w:pPr>
      <w:r w:rsidRPr="00B24D6E">
        <w:rPr>
          <w:szCs w:val="28"/>
          <w:lang w:val="fr-FR"/>
        </w:rPr>
        <w:t>Bonne aptitude à travailler en équipe </w:t>
      </w:r>
    </w:p>
    <w:p w:rsidR="00B24D6E" w:rsidRPr="00B24D6E" w:rsidRDefault="00B24D6E" w:rsidP="00B24D6E">
      <w:pPr>
        <w:pStyle w:val="Paragraphedeliste"/>
        <w:spacing w:after="0" w:line="240" w:lineRule="auto"/>
        <w:ind w:left="1068"/>
        <w:jc w:val="both"/>
        <w:rPr>
          <w:szCs w:val="28"/>
          <w:lang w:val="fr-FR"/>
        </w:rPr>
      </w:pPr>
    </w:p>
    <w:p w:rsidR="00B24D6E" w:rsidRPr="002A30B2" w:rsidRDefault="00B24D6E" w:rsidP="00B24D6E">
      <w:pPr>
        <w:pBdr>
          <w:bottom w:val="single" w:sz="4" w:space="1" w:color="auto"/>
        </w:pBdr>
        <w:jc w:val="both"/>
        <w:rPr>
          <w:b/>
          <w:color w:val="1F497D" w:themeColor="text2"/>
          <w:sz w:val="24"/>
          <w:u w:val="single"/>
          <w:lang w:val="fr-FR"/>
        </w:rPr>
      </w:pPr>
      <w:r w:rsidRPr="00B24D6E">
        <w:rPr>
          <w:smallCaps/>
          <w:sz w:val="28"/>
          <w:szCs w:val="28"/>
          <w:lang w:val="fr-FR"/>
        </w:rPr>
        <w:t>Paiement</w:t>
      </w:r>
    </w:p>
    <w:p w:rsidR="002A30B2" w:rsidRDefault="00826BD1" w:rsidP="00C801BF">
      <w:pPr>
        <w:jc w:val="both"/>
        <w:rPr>
          <w:rFonts w:cs="Arial"/>
          <w:lang w:val="fr-FR"/>
        </w:rPr>
      </w:pPr>
      <w:r w:rsidRPr="00CF2219">
        <w:rPr>
          <w:lang w:val="fr-BE"/>
        </w:rPr>
        <w:lastRenderedPageBreak/>
        <w:t>Le/la consultant(e)</w:t>
      </w:r>
      <w:r>
        <w:rPr>
          <w:lang w:val="fr-BE"/>
        </w:rPr>
        <w:t xml:space="preserve"> </w:t>
      </w:r>
      <w:r w:rsidR="00B24D6E" w:rsidRPr="00B24D6E">
        <w:rPr>
          <w:rFonts w:cs="Arial"/>
          <w:lang w:val="fr-FR"/>
        </w:rPr>
        <w:t xml:space="preserve"> sera payé uniquement sur la base du montant défini et accordé dans son contrat avec ACF. Aucun autre frais ne sera payé au consultant outre ceux consentis sur la base de son offre. </w:t>
      </w:r>
    </w:p>
    <w:p w:rsidR="002A30B2" w:rsidRDefault="00B24D6E" w:rsidP="0063283E">
      <w:pPr>
        <w:spacing w:after="0"/>
        <w:jc w:val="both"/>
        <w:rPr>
          <w:rFonts w:cs="Arial"/>
          <w:highlight w:val="yellow"/>
          <w:lang w:val="fr-FR"/>
        </w:rPr>
      </w:pPr>
      <w:r w:rsidRPr="002A30B2">
        <w:rPr>
          <w:rFonts w:cs="Arial"/>
          <w:lang w:val="fr-FR"/>
        </w:rPr>
        <w:t xml:space="preserve">Le paiement de sa </w:t>
      </w:r>
      <w:r w:rsidR="002A30B2">
        <w:rPr>
          <w:rFonts w:cs="Arial"/>
          <w:lang w:val="fr-FR"/>
        </w:rPr>
        <w:t>prestation sera réalisé en quatre</w:t>
      </w:r>
      <w:r w:rsidRPr="002A30B2">
        <w:rPr>
          <w:rFonts w:cs="Arial"/>
          <w:lang w:val="fr-FR"/>
        </w:rPr>
        <w:t xml:space="preserve"> tranches :</w:t>
      </w:r>
      <w:r w:rsidRPr="00F77A66">
        <w:rPr>
          <w:rFonts w:cs="Arial"/>
          <w:highlight w:val="yellow"/>
          <w:lang w:val="fr-FR"/>
        </w:rPr>
        <w:t xml:space="preserve"> </w:t>
      </w:r>
    </w:p>
    <w:p w:rsidR="002A30B2" w:rsidRPr="002A30B2" w:rsidRDefault="002A30B2" w:rsidP="002A30B2">
      <w:pPr>
        <w:pStyle w:val="Paragraphedeliste"/>
        <w:numPr>
          <w:ilvl w:val="0"/>
          <w:numId w:val="4"/>
        </w:numPr>
        <w:jc w:val="both"/>
        <w:rPr>
          <w:rFonts w:cs="Arial"/>
          <w:lang w:val="fr-FR"/>
        </w:rPr>
      </w:pPr>
      <w:r w:rsidRPr="002A30B2">
        <w:rPr>
          <w:rFonts w:cs="Arial"/>
          <w:lang w:val="fr-FR"/>
        </w:rPr>
        <w:t xml:space="preserve">20% comme </w:t>
      </w:r>
      <w:r w:rsidR="00B24D6E" w:rsidRPr="002A30B2">
        <w:rPr>
          <w:rFonts w:cs="Arial"/>
          <w:lang w:val="fr-FR"/>
        </w:rPr>
        <w:t xml:space="preserve">provision de fond au début de la prestation et sur place, </w:t>
      </w:r>
    </w:p>
    <w:p w:rsidR="002A30B2" w:rsidRDefault="002A30B2" w:rsidP="002A30B2">
      <w:pPr>
        <w:pStyle w:val="Paragraphedeliste"/>
        <w:numPr>
          <w:ilvl w:val="0"/>
          <w:numId w:val="4"/>
        </w:numPr>
        <w:jc w:val="both"/>
        <w:rPr>
          <w:rFonts w:cs="Arial"/>
          <w:lang w:val="fr-FR"/>
        </w:rPr>
      </w:pPr>
      <w:r w:rsidRPr="002A30B2">
        <w:rPr>
          <w:rFonts w:cs="Arial"/>
          <w:lang w:val="fr-FR"/>
        </w:rPr>
        <w:t xml:space="preserve">30% pour la </w:t>
      </w:r>
      <w:r w:rsidR="00B24D6E" w:rsidRPr="002A30B2">
        <w:rPr>
          <w:rFonts w:cs="Arial"/>
          <w:lang w:val="fr-FR"/>
        </w:rPr>
        <w:t xml:space="preserve">deuxième </w:t>
      </w:r>
      <w:r w:rsidRPr="002A30B2">
        <w:rPr>
          <w:rFonts w:cs="Arial"/>
          <w:lang w:val="fr-FR"/>
        </w:rPr>
        <w:t xml:space="preserve">tranche </w:t>
      </w:r>
      <w:r w:rsidR="00B24D6E" w:rsidRPr="002A30B2">
        <w:rPr>
          <w:rFonts w:cs="Arial"/>
          <w:lang w:val="fr-FR"/>
        </w:rPr>
        <w:t>à la fin de l’étap</w:t>
      </w:r>
      <w:r w:rsidR="00826BD1" w:rsidRPr="002A30B2">
        <w:rPr>
          <w:rFonts w:cs="Arial"/>
          <w:lang w:val="fr-FR"/>
        </w:rPr>
        <w:t xml:space="preserve">e n°3 après rendu des produits </w:t>
      </w:r>
      <w:r w:rsidR="00B24D6E" w:rsidRPr="002A30B2">
        <w:rPr>
          <w:rFonts w:cs="Arial"/>
          <w:lang w:val="fr-FR"/>
        </w:rPr>
        <w:t xml:space="preserve">1, 2 </w:t>
      </w:r>
    </w:p>
    <w:p w:rsidR="002A30B2" w:rsidRPr="002A30B2" w:rsidRDefault="002A30B2" w:rsidP="002A30B2">
      <w:pPr>
        <w:pStyle w:val="Paragraphedeliste"/>
        <w:numPr>
          <w:ilvl w:val="0"/>
          <w:numId w:val="4"/>
        </w:numPr>
        <w:jc w:val="both"/>
        <w:rPr>
          <w:rFonts w:cs="Arial"/>
          <w:lang w:val="fr-FR"/>
        </w:rPr>
      </w:pPr>
      <w:r>
        <w:rPr>
          <w:rFonts w:cs="Arial"/>
          <w:lang w:val="fr-FR"/>
        </w:rPr>
        <w:t>30% pour une troisième tranche à la fin de l’étape n°4 et après rendu du produit 3</w:t>
      </w:r>
    </w:p>
    <w:p w:rsidR="002A30B2" w:rsidRDefault="002A30B2" w:rsidP="002A30B2">
      <w:pPr>
        <w:pStyle w:val="Paragraphedeliste"/>
        <w:numPr>
          <w:ilvl w:val="0"/>
          <w:numId w:val="4"/>
        </w:numPr>
        <w:jc w:val="both"/>
        <w:rPr>
          <w:rFonts w:cs="Arial"/>
          <w:lang w:val="fr-FR"/>
        </w:rPr>
      </w:pPr>
      <w:r w:rsidRPr="002A30B2">
        <w:rPr>
          <w:rFonts w:cs="Arial"/>
          <w:lang w:val="fr-FR"/>
        </w:rPr>
        <w:t>20% pou</w:t>
      </w:r>
      <w:bookmarkStart w:id="0" w:name="_GoBack"/>
      <w:bookmarkEnd w:id="0"/>
      <w:r w:rsidRPr="002A30B2">
        <w:rPr>
          <w:rFonts w:cs="Arial"/>
          <w:lang w:val="fr-FR"/>
        </w:rPr>
        <w:t xml:space="preserve">r une quatrième tranche </w:t>
      </w:r>
      <w:r w:rsidR="00B24D6E" w:rsidRPr="002A30B2">
        <w:rPr>
          <w:rFonts w:cs="Arial"/>
          <w:lang w:val="fr-FR"/>
        </w:rPr>
        <w:t xml:space="preserve">après validation du </w:t>
      </w:r>
      <w:r w:rsidR="00826BD1" w:rsidRPr="002A30B2">
        <w:rPr>
          <w:rFonts w:cs="Arial"/>
          <w:lang w:val="fr-FR"/>
        </w:rPr>
        <w:t xml:space="preserve">rapport de synthèse </w:t>
      </w:r>
      <w:r w:rsidR="00B24D6E" w:rsidRPr="002A30B2">
        <w:rPr>
          <w:rFonts w:cs="Arial"/>
          <w:lang w:val="fr-FR"/>
        </w:rPr>
        <w:t>de l’étude</w:t>
      </w:r>
      <w:r w:rsidR="00826BD1" w:rsidRPr="002A30B2">
        <w:rPr>
          <w:rFonts w:cs="Arial"/>
          <w:lang w:val="fr-FR"/>
        </w:rPr>
        <w:t xml:space="preserve">. </w:t>
      </w:r>
    </w:p>
    <w:p w:rsidR="00EA0F93" w:rsidRPr="002A30B2" w:rsidRDefault="00B24D6E" w:rsidP="002A30B2">
      <w:pPr>
        <w:jc w:val="both"/>
        <w:rPr>
          <w:rFonts w:cs="Arial"/>
          <w:lang w:val="fr-FR"/>
        </w:rPr>
      </w:pPr>
      <w:r w:rsidRPr="002A30B2">
        <w:rPr>
          <w:rFonts w:cs="Arial"/>
          <w:lang w:val="fr-FR"/>
        </w:rPr>
        <w:t xml:space="preserve">Tout impôt lié à la prestation sera à </w:t>
      </w:r>
      <w:r w:rsidR="00826BD1" w:rsidRPr="002A30B2">
        <w:rPr>
          <w:rFonts w:cs="Arial"/>
          <w:lang w:val="fr-FR"/>
        </w:rPr>
        <w:t>la charge du/de la consultant(</w:t>
      </w:r>
      <w:r w:rsidRPr="002A30B2">
        <w:rPr>
          <w:rFonts w:cs="Arial"/>
          <w:lang w:val="fr-FR"/>
        </w:rPr>
        <w:t>e</w:t>
      </w:r>
      <w:r w:rsidR="00826BD1" w:rsidRPr="002A30B2">
        <w:rPr>
          <w:rFonts w:cs="Arial"/>
          <w:lang w:val="fr-FR"/>
        </w:rPr>
        <w:t>)</w:t>
      </w:r>
      <w:r w:rsidRPr="002A30B2">
        <w:rPr>
          <w:rFonts w:cs="Arial"/>
          <w:lang w:val="fr-FR"/>
        </w:rPr>
        <w:t>.</w:t>
      </w:r>
    </w:p>
    <w:p w:rsidR="00826BD1" w:rsidRPr="00826BD1" w:rsidRDefault="00826BD1" w:rsidP="00826BD1">
      <w:pPr>
        <w:pBdr>
          <w:bottom w:val="single" w:sz="4" w:space="1" w:color="auto"/>
        </w:pBdr>
        <w:jc w:val="both"/>
        <w:rPr>
          <w:smallCaps/>
          <w:sz w:val="28"/>
          <w:szCs w:val="28"/>
          <w:lang w:val="fr-FR"/>
        </w:rPr>
      </w:pPr>
      <w:r w:rsidRPr="00826BD1">
        <w:rPr>
          <w:smallCaps/>
          <w:sz w:val="28"/>
          <w:szCs w:val="28"/>
          <w:lang w:val="fr-FR"/>
        </w:rPr>
        <w:t>Soumission de candidature</w:t>
      </w:r>
    </w:p>
    <w:p w:rsidR="00826BD1" w:rsidRPr="00826BD1" w:rsidRDefault="00826BD1" w:rsidP="00826BD1">
      <w:pPr>
        <w:jc w:val="both"/>
        <w:rPr>
          <w:lang w:val="fr-FR"/>
        </w:rPr>
      </w:pPr>
      <w:r w:rsidRPr="00826BD1">
        <w:rPr>
          <w:lang w:val="fr-FR"/>
        </w:rPr>
        <w:t>ACF offrira un contrat de prestation de service avec une rémunération compétitive.</w:t>
      </w:r>
    </w:p>
    <w:p w:rsidR="00826BD1" w:rsidRPr="00826BD1" w:rsidRDefault="00826BD1" w:rsidP="00826BD1">
      <w:pPr>
        <w:jc w:val="both"/>
        <w:rPr>
          <w:lang w:val="fr-FR"/>
        </w:rPr>
      </w:pPr>
      <w:r w:rsidRPr="00826BD1">
        <w:rPr>
          <w:lang w:val="fr-FR"/>
        </w:rPr>
        <w:t>Les candidats intéressés sont priés de présenter un dossier complet comprenant :</w:t>
      </w:r>
    </w:p>
    <w:p w:rsidR="00826BD1" w:rsidRPr="00826BD1" w:rsidRDefault="00826BD1" w:rsidP="00826BD1">
      <w:pPr>
        <w:pStyle w:val="Paragraphedeliste"/>
        <w:numPr>
          <w:ilvl w:val="0"/>
          <w:numId w:val="7"/>
        </w:numPr>
        <w:spacing w:after="0" w:line="240" w:lineRule="auto"/>
        <w:jc w:val="both"/>
        <w:rPr>
          <w:lang w:val="fr-FR"/>
        </w:rPr>
      </w:pPr>
      <w:r w:rsidRPr="00826BD1">
        <w:rPr>
          <w:lang w:val="fr-FR"/>
        </w:rPr>
        <w:t>un CV détaillé</w:t>
      </w:r>
    </w:p>
    <w:p w:rsidR="00826BD1" w:rsidRPr="00826BD1" w:rsidRDefault="00826BD1" w:rsidP="00826BD1">
      <w:pPr>
        <w:pStyle w:val="Paragraphedeliste"/>
        <w:numPr>
          <w:ilvl w:val="0"/>
          <w:numId w:val="7"/>
        </w:numPr>
        <w:spacing w:after="0" w:line="240" w:lineRule="auto"/>
        <w:jc w:val="both"/>
        <w:rPr>
          <w:lang w:val="fr-FR"/>
        </w:rPr>
      </w:pPr>
      <w:r w:rsidRPr="00826BD1">
        <w:rPr>
          <w:lang w:val="fr-FR"/>
        </w:rPr>
        <w:t>une offre technique (incluant la méthodologie de mise en œuvre de l’étude) et financière</w:t>
      </w:r>
    </w:p>
    <w:p w:rsidR="00826BD1" w:rsidRPr="00826BD1" w:rsidRDefault="00826BD1" w:rsidP="00826BD1">
      <w:pPr>
        <w:pStyle w:val="Paragraphedeliste"/>
        <w:numPr>
          <w:ilvl w:val="0"/>
          <w:numId w:val="7"/>
        </w:numPr>
        <w:spacing w:after="0" w:line="240" w:lineRule="auto"/>
        <w:jc w:val="both"/>
        <w:rPr>
          <w:lang w:val="fr-FR"/>
        </w:rPr>
      </w:pPr>
      <w:r w:rsidRPr="00826BD1">
        <w:rPr>
          <w:lang w:val="fr-FR"/>
        </w:rPr>
        <w:t xml:space="preserve">attestations ou tout autre document prouvant son expérience similaire </w:t>
      </w:r>
    </w:p>
    <w:p w:rsidR="00826BD1" w:rsidRPr="00826BD1" w:rsidRDefault="00826BD1" w:rsidP="00826BD1">
      <w:pPr>
        <w:pStyle w:val="Paragraphedeliste"/>
        <w:spacing w:after="0" w:line="240" w:lineRule="auto"/>
        <w:jc w:val="both"/>
        <w:rPr>
          <w:lang w:val="fr-FR"/>
        </w:rPr>
      </w:pPr>
    </w:p>
    <w:p w:rsidR="00826BD1" w:rsidRPr="00826BD1" w:rsidRDefault="00826BD1" w:rsidP="00826BD1">
      <w:pPr>
        <w:jc w:val="both"/>
        <w:rPr>
          <w:lang w:val="fr-FR"/>
        </w:rPr>
      </w:pPr>
      <w:r w:rsidRPr="00826BD1">
        <w:rPr>
          <w:lang w:val="fr-FR"/>
        </w:rPr>
        <w:t>La candidature portant la mention « </w:t>
      </w:r>
      <w:r w:rsidRPr="00826BD1">
        <w:rPr>
          <w:b/>
          <w:lang w:val="fr-FR"/>
        </w:rPr>
        <w:t xml:space="preserve">Offre candidature </w:t>
      </w:r>
      <w:r w:rsidR="002A30B2">
        <w:rPr>
          <w:b/>
          <w:lang w:val="fr-FR"/>
        </w:rPr>
        <w:t xml:space="preserve">consultant national </w:t>
      </w:r>
      <w:r>
        <w:rPr>
          <w:b/>
          <w:lang w:val="fr-FR"/>
        </w:rPr>
        <w:t xml:space="preserve">volet psychomoteur MALINEA </w:t>
      </w:r>
      <w:r w:rsidRPr="00826BD1">
        <w:rPr>
          <w:b/>
          <w:lang w:val="fr-FR"/>
        </w:rPr>
        <w:t xml:space="preserve">» </w:t>
      </w:r>
      <w:r w:rsidRPr="00826BD1">
        <w:rPr>
          <w:lang w:val="fr-FR"/>
        </w:rPr>
        <w:t>en titre du message</w:t>
      </w:r>
      <w:r w:rsidRPr="00826BD1">
        <w:rPr>
          <w:b/>
          <w:lang w:val="fr-FR"/>
        </w:rPr>
        <w:t xml:space="preserve"> </w:t>
      </w:r>
      <w:r w:rsidRPr="00826BD1">
        <w:rPr>
          <w:lang w:val="fr-FR"/>
        </w:rPr>
        <w:t xml:space="preserve">doit être envoyée par e-mail à l’adresse suivante : </w:t>
      </w:r>
      <w:hyperlink r:id="rId6" w:history="1">
        <w:r w:rsidR="002A30B2" w:rsidRPr="00311C1A">
          <w:rPr>
            <w:rStyle w:val="Lienhypertexte"/>
            <w:lang w:val="fr-FR"/>
          </w:rPr>
          <w:t>acfrecrutconsult@sn.acfspain.org</w:t>
        </w:r>
      </w:hyperlink>
      <w:r w:rsidR="002A3172">
        <w:rPr>
          <w:lang w:val="fr-FR"/>
        </w:rPr>
        <w:t xml:space="preserve"> </w:t>
      </w:r>
      <w:r w:rsidR="002A30B2">
        <w:rPr>
          <w:lang w:val="fr-FR"/>
        </w:rPr>
        <w:t>avant le 15 Aout 2016, à 18</w:t>
      </w:r>
      <w:r w:rsidRPr="00826BD1">
        <w:rPr>
          <w:lang w:val="fr-FR"/>
        </w:rPr>
        <w:t xml:space="preserve"> heures (heure locale). Seuls les candidats qualifiés seront contactés. Aucun dossier ne sera restitué aux soumissionnaires.</w:t>
      </w:r>
    </w:p>
    <w:p w:rsidR="00B24D6E" w:rsidRPr="002A30B2" w:rsidRDefault="00B24D6E" w:rsidP="00B24D6E">
      <w:pPr>
        <w:jc w:val="both"/>
        <w:rPr>
          <w:rFonts w:cs="Arial"/>
          <w:lang w:val="fr-FR"/>
        </w:rPr>
      </w:pPr>
    </w:p>
    <w:p w:rsidR="00A53948" w:rsidRDefault="00A53948" w:rsidP="00B24D6E">
      <w:pPr>
        <w:jc w:val="both"/>
        <w:rPr>
          <w:rFonts w:cs="Arial"/>
          <w:lang w:val="fr-FR"/>
        </w:rPr>
      </w:pPr>
    </w:p>
    <w:p w:rsidR="00A53948" w:rsidRDefault="00A53948" w:rsidP="00B24D6E">
      <w:pPr>
        <w:jc w:val="both"/>
        <w:rPr>
          <w:rFonts w:cs="Arial"/>
          <w:lang w:val="fr-FR"/>
        </w:rPr>
      </w:pPr>
    </w:p>
    <w:p w:rsidR="00B73030" w:rsidRDefault="00B73030" w:rsidP="00B24D6E">
      <w:pPr>
        <w:jc w:val="both"/>
        <w:rPr>
          <w:rFonts w:cs="Arial"/>
          <w:lang w:val="fr-FR"/>
        </w:rPr>
      </w:pPr>
    </w:p>
    <w:p w:rsidR="00B73030" w:rsidRDefault="00B73030" w:rsidP="00B24D6E">
      <w:pPr>
        <w:jc w:val="both"/>
        <w:rPr>
          <w:rFonts w:cs="Arial"/>
          <w:lang w:val="fr-FR"/>
        </w:rPr>
      </w:pPr>
    </w:p>
    <w:p w:rsidR="00B73030" w:rsidRDefault="00B73030" w:rsidP="00B24D6E">
      <w:pPr>
        <w:jc w:val="both"/>
        <w:rPr>
          <w:rFonts w:cs="Arial"/>
          <w:lang w:val="fr-FR"/>
        </w:rPr>
      </w:pPr>
    </w:p>
    <w:p w:rsidR="00B73030" w:rsidRDefault="00B73030" w:rsidP="00B24D6E">
      <w:pPr>
        <w:jc w:val="both"/>
        <w:rPr>
          <w:rFonts w:cs="Arial"/>
          <w:lang w:val="fr-FR"/>
        </w:rPr>
      </w:pPr>
    </w:p>
    <w:p w:rsidR="00B73030" w:rsidRDefault="00B73030" w:rsidP="00B24D6E">
      <w:pPr>
        <w:jc w:val="both"/>
        <w:rPr>
          <w:rFonts w:cs="Arial"/>
          <w:lang w:val="fr-FR"/>
        </w:rPr>
      </w:pPr>
    </w:p>
    <w:p w:rsidR="00B73030" w:rsidRDefault="00B73030" w:rsidP="00B24D6E">
      <w:pPr>
        <w:jc w:val="both"/>
        <w:rPr>
          <w:rFonts w:cs="Arial"/>
          <w:lang w:val="fr-FR"/>
        </w:rPr>
      </w:pPr>
    </w:p>
    <w:p w:rsidR="00B73030" w:rsidRDefault="00B73030" w:rsidP="00B24D6E">
      <w:pPr>
        <w:jc w:val="both"/>
        <w:rPr>
          <w:rFonts w:cs="Arial"/>
          <w:lang w:val="fr-FR"/>
        </w:rPr>
      </w:pPr>
    </w:p>
    <w:p w:rsidR="00B73030" w:rsidRDefault="00B73030" w:rsidP="00B24D6E">
      <w:pPr>
        <w:jc w:val="both"/>
        <w:rPr>
          <w:rFonts w:cs="Arial"/>
          <w:lang w:val="fr-FR"/>
        </w:rPr>
      </w:pPr>
    </w:p>
    <w:p w:rsidR="00B73030" w:rsidRDefault="00B73030" w:rsidP="00B24D6E">
      <w:pPr>
        <w:jc w:val="both"/>
        <w:rPr>
          <w:rFonts w:cs="Arial"/>
          <w:lang w:val="fr-FR"/>
        </w:rPr>
      </w:pPr>
    </w:p>
    <w:p w:rsidR="00B73030" w:rsidRDefault="00B73030" w:rsidP="00B24D6E">
      <w:pPr>
        <w:jc w:val="both"/>
        <w:rPr>
          <w:rFonts w:cs="Arial"/>
          <w:lang w:val="fr-FR"/>
        </w:rPr>
      </w:pPr>
    </w:p>
    <w:p w:rsidR="00B73030" w:rsidRDefault="00B73030" w:rsidP="00B24D6E">
      <w:pPr>
        <w:jc w:val="both"/>
        <w:rPr>
          <w:rFonts w:cs="Arial"/>
          <w:lang w:val="fr-FR"/>
        </w:rPr>
      </w:pPr>
    </w:p>
    <w:p w:rsidR="00B73030" w:rsidRDefault="00B73030" w:rsidP="00B24D6E">
      <w:pPr>
        <w:jc w:val="both"/>
        <w:rPr>
          <w:rFonts w:cs="Arial"/>
          <w:lang w:val="fr-FR"/>
        </w:rPr>
      </w:pPr>
    </w:p>
    <w:p w:rsidR="002B2728" w:rsidRPr="002B2728" w:rsidRDefault="002B2728" w:rsidP="002B2728">
      <w:pPr>
        <w:pBdr>
          <w:bottom w:val="single" w:sz="4" w:space="1" w:color="auto"/>
        </w:pBdr>
        <w:jc w:val="both"/>
        <w:rPr>
          <w:smallCaps/>
          <w:sz w:val="28"/>
          <w:szCs w:val="28"/>
          <w:lang w:val="fr-FR"/>
        </w:rPr>
      </w:pPr>
      <w:r w:rsidRPr="00A53948">
        <w:rPr>
          <w:smallCaps/>
          <w:sz w:val="28"/>
          <w:szCs w:val="28"/>
          <w:lang w:val="fr-FR"/>
        </w:rPr>
        <w:t>Chronogramme indicatif de l’étude</w:t>
      </w:r>
    </w:p>
    <w:p w:rsidR="002B2728" w:rsidRDefault="002B2728" w:rsidP="002B2728">
      <w:pPr>
        <w:jc w:val="both"/>
      </w:pPr>
    </w:p>
    <w:p w:rsidR="00A53948" w:rsidRDefault="00F51F13" w:rsidP="00B73030">
      <w:pPr>
        <w:ind w:hanging="709"/>
        <w:jc w:val="both"/>
        <w:rPr>
          <w:rFonts w:cs="Arial"/>
          <w:lang w:val="fr-FR"/>
        </w:rPr>
        <w:sectPr w:rsidR="00A53948" w:rsidSect="00B24D6E">
          <w:pgSz w:w="11906" w:h="16838"/>
          <w:pgMar w:top="851" w:right="1133" w:bottom="1417" w:left="1701" w:header="708" w:footer="708" w:gutter="0"/>
          <w:cols w:space="708"/>
          <w:docGrid w:linePitch="360"/>
        </w:sectPr>
      </w:pPr>
      <w:r w:rsidRPr="00F51F13">
        <w:rPr>
          <w:noProof/>
          <w:lang w:val="fr-FR" w:eastAsia="fr-FR"/>
        </w:rPr>
        <w:drawing>
          <wp:inline distT="0" distB="0" distL="0" distR="0">
            <wp:extent cx="6444240" cy="1743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2732" cy="1756191"/>
                    </a:xfrm>
                    <a:prstGeom prst="rect">
                      <a:avLst/>
                    </a:prstGeom>
                    <a:noFill/>
                    <a:ln>
                      <a:noFill/>
                    </a:ln>
                  </pic:spPr>
                </pic:pic>
              </a:graphicData>
            </a:graphic>
          </wp:inline>
        </w:drawing>
      </w:r>
    </w:p>
    <w:p w:rsidR="00EA0F93" w:rsidRPr="00A53948" w:rsidRDefault="00EA0F93" w:rsidP="00B73030">
      <w:pPr>
        <w:jc w:val="both"/>
        <w:rPr>
          <w:rFonts w:cs="Arial"/>
          <w:lang w:val="fr-FR"/>
        </w:rPr>
      </w:pPr>
    </w:p>
    <w:sectPr w:rsidR="00EA0F93" w:rsidRPr="00A53948" w:rsidSect="00A53948">
      <w:pgSz w:w="16838" w:h="11906" w:orient="landscape"/>
      <w:pgMar w:top="170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6F75"/>
    <w:multiLevelType w:val="hybridMultilevel"/>
    <w:tmpl w:val="CF64B6F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6C1508"/>
    <w:multiLevelType w:val="hybridMultilevel"/>
    <w:tmpl w:val="42FAEF7A"/>
    <w:lvl w:ilvl="0" w:tplc="224CFF4A">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8CD1303"/>
    <w:multiLevelType w:val="hybridMultilevel"/>
    <w:tmpl w:val="FB220D78"/>
    <w:lvl w:ilvl="0" w:tplc="F69C7A02">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E416AD"/>
    <w:multiLevelType w:val="hybridMultilevel"/>
    <w:tmpl w:val="2FF8A70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8BE0355"/>
    <w:multiLevelType w:val="hybridMultilevel"/>
    <w:tmpl w:val="1D64DC7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6EAF7F8A"/>
    <w:multiLevelType w:val="hybridMultilevel"/>
    <w:tmpl w:val="3E5264CA"/>
    <w:lvl w:ilvl="0" w:tplc="78E0A4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9463227"/>
    <w:multiLevelType w:val="hybridMultilevel"/>
    <w:tmpl w:val="6EE819B8"/>
    <w:lvl w:ilvl="0" w:tplc="160653F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55C5"/>
    <w:rsid w:val="000155C5"/>
    <w:rsid w:val="000219C9"/>
    <w:rsid w:val="000372E8"/>
    <w:rsid w:val="00056957"/>
    <w:rsid w:val="00064628"/>
    <w:rsid w:val="00084A91"/>
    <w:rsid w:val="000E7A1F"/>
    <w:rsid w:val="001039A6"/>
    <w:rsid w:val="001045FE"/>
    <w:rsid w:val="0013035D"/>
    <w:rsid w:val="00136DA8"/>
    <w:rsid w:val="0014404A"/>
    <w:rsid w:val="001565C5"/>
    <w:rsid w:val="0016473D"/>
    <w:rsid w:val="00165ED3"/>
    <w:rsid w:val="0018012C"/>
    <w:rsid w:val="00186083"/>
    <w:rsid w:val="001B3E67"/>
    <w:rsid w:val="0023771B"/>
    <w:rsid w:val="002544F0"/>
    <w:rsid w:val="00286F7B"/>
    <w:rsid w:val="00294766"/>
    <w:rsid w:val="002A198F"/>
    <w:rsid w:val="002A30B2"/>
    <w:rsid w:val="002A3172"/>
    <w:rsid w:val="002A4DB9"/>
    <w:rsid w:val="002B0CA8"/>
    <w:rsid w:val="002B0CFE"/>
    <w:rsid w:val="002B2728"/>
    <w:rsid w:val="002B4D4F"/>
    <w:rsid w:val="002C3B67"/>
    <w:rsid w:val="002D1474"/>
    <w:rsid w:val="00320638"/>
    <w:rsid w:val="00364744"/>
    <w:rsid w:val="00384507"/>
    <w:rsid w:val="00384BF8"/>
    <w:rsid w:val="00395929"/>
    <w:rsid w:val="003B4AEF"/>
    <w:rsid w:val="003C1222"/>
    <w:rsid w:val="00413AE0"/>
    <w:rsid w:val="00471F64"/>
    <w:rsid w:val="004A30A1"/>
    <w:rsid w:val="004A79B8"/>
    <w:rsid w:val="004B7BCF"/>
    <w:rsid w:val="00526A42"/>
    <w:rsid w:val="0052761A"/>
    <w:rsid w:val="00533E7B"/>
    <w:rsid w:val="00556161"/>
    <w:rsid w:val="0056521A"/>
    <w:rsid w:val="005A00FA"/>
    <w:rsid w:val="005B2734"/>
    <w:rsid w:val="005D7432"/>
    <w:rsid w:val="0063283E"/>
    <w:rsid w:val="0063519D"/>
    <w:rsid w:val="006366A6"/>
    <w:rsid w:val="00641194"/>
    <w:rsid w:val="006B32B5"/>
    <w:rsid w:val="006B54D8"/>
    <w:rsid w:val="006B5614"/>
    <w:rsid w:val="006E516A"/>
    <w:rsid w:val="006E5DA7"/>
    <w:rsid w:val="006F41B8"/>
    <w:rsid w:val="006F731A"/>
    <w:rsid w:val="00712C81"/>
    <w:rsid w:val="00734564"/>
    <w:rsid w:val="00770C10"/>
    <w:rsid w:val="00777456"/>
    <w:rsid w:val="007A4C59"/>
    <w:rsid w:val="007A6D69"/>
    <w:rsid w:val="007C0DDB"/>
    <w:rsid w:val="007D45AA"/>
    <w:rsid w:val="007E2384"/>
    <w:rsid w:val="007E5852"/>
    <w:rsid w:val="007F0D91"/>
    <w:rsid w:val="007F42CD"/>
    <w:rsid w:val="00823B77"/>
    <w:rsid w:val="00825DFE"/>
    <w:rsid w:val="00826BD1"/>
    <w:rsid w:val="008359B6"/>
    <w:rsid w:val="00870A77"/>
    <w:rsid w:val="008A0077"/>
    <w:rsid w:val="008A6423"/>
    <w:rsid w:val="008B274C"/>
    <w:rsid w:val="008B2E8D"/>
    <w:rsid w:val="008B7C20"/>
    <w:rsid w:val="009A1A80"/>
    <w:rsid w:val="009D2D75"/>
    <w:rsid w:val="009E1CC6"/>
    <w:rsid w:val="00A000AF"/>
    <w:rsid w:val="00A037E7"/>
    <w:rsid w:val="00A04695"/>
    <w:rsid w:val="00A27B0B"/>
    <w:rsid w:val="00A51C14"/>
    <w:rsid w:val="00A53948"/>
    <w:rsid w:val="00A57154"/>
    <w:rsid w:val="00A75EC4"/>
    <w:rsid w:val="00A76965"/>
    <w:rsid w:val="00A96D36"/>
    <w:rsid w:val="00AA4A7B"/>
    <w:rsid w:val="00AB67B8"/>
    <w:rsid w:val="00AC4FA4"/>
    <w:rsid w:val="00AC6156"/>
    <w:rsid w:val="00AE241A"/>
    <w:rsid w:val="00AF5376"/>
    <w:rsid w:val="00AF796D"/>
    <w:rsid w:val="00B1533C"/>
    <w:rsid w:val="00B24D6E"/>
    <w:rsid w:val="00B518B7"/>
    <w:rsid w:val="00B57897"/>
    <w:rsid w:val="00B73030"/>
    <w:rsid w:val="00B75823"/>
    <w:rsid w:val="00BA34C7"/>
    <w:rsid w:val="00BA3569"/>
    <w:rsid w:val="00BA50FD"/>
    <w:rsid w:val="00BB303F"/>
    <w:rsid w:val="00BB6379"/>
    <w:rsid w:val="00BC6C45"/>
    <w:rsid w:val="00BD6A49"/>
    <w:rsid w:val="00BF273D"/>
    <w:rsid w:val="00C338CC"/>
    <w:rsid w:val="00C75FA5"/>
    <w:rsid w:val="00C801BF"/>
    <w:rsid w:val="00CA0692"/>
    <w:rsid w:val="00CA6A58"/>
    <w:rsid w:val="00CB7EAF"/>
    <w:rsid w:val="00CF2219"/>
    <w:rsid w:val="00D042C1"/>
    <w:rsid w:val="00D070A9"/>
    <w:rsid w:val="00D1432F"/>
    <w:rsid w:val="00D16A86"/>
    <w:rsid w:val="00D31585"/>
    <w:rsid w:val="00D46A2B"/>
    <w:rsid w:val="00DD7BE3"/>
    <w:rsid w:val="00E2412C"/>
    <w:rsid w:val="00E27498"/>
    <w:rsid w:val="00E32857"/>
    <w:rsid w:val="00E54518"/>
    <w:rsid w:val="00E72BE9"/>
    <w:rsid w:val="00EA0F93"/>
    <w:rsid w:val="00EA11E4"/>
    <w:rsid w:val="00EA42E3"/>
    <w:rsid w:val="00EC062F"/>
    <w:rsid w:val="00ED6AC6"/>
    <w:rsid w:val="00ED7E29"/>
    <w:rsid w:val="00F23315"/>
    <w:rsid w:val="00F42111"/>
    <w:rsid w:val="00F51F13"/>
    <w:rsid w:val="00F55A7C"/>
    <w:rsid w:val="00F63706"/>
    <w:rsid w:val="00F77A66"/>
    <w:rsid w:val="00F77F35"/>
    <w:rsid w:val="00FB2747"/>
    <w:rsid w:val="00FC1F44"/>
    <w:rsid w:val="00FC2B24"/>
    <w:rsid w:val="00FC4A6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155C5"/>
    <w:pPr>
      <w:ind w:left="720"/>
      <w:contextualSpacing/>
    </w:pPr>
  </w:style>
  <w:style w:type="character" w:styleId="Marquedecommentaire">
    <w:name w:val="annotation reference"/>
    <w:basedOn w:val="Policepardfaut"/>
    <w:uiPriority w:val="99"/>
    <w:semiHidden/>
    <w:unhideWhenUsed/>
    <w:rsid w:val="00777456"/>
    <w:rPr>
      <w:sz w:val="16"/>
      <w:szCs w:val="16"/>
    </w:rPr>
  </w:style>
  <w:style w:type="paragraph" w:styleId="Commentaire">
    <w:name w:val="annotation text"/>
    <w:basedOn w:val="Normal"/>
    <w:link w:val="CommentaireCar"/>
    <w:uiPriority w:val="99"/>
    <w:unhideWhenUsed/>
    <w:rsid w:val="00777456"/>
    <w:pPr>
      <w:spacing w:line="240" w:lineRule="auto"/>
    </w:pPr>
    <w:rPr>
      <w:sz w:val="20"/>
      <w:szCs w:val="20"/>
    </w:rPr>
  </w:style>
  <w:style w:type="character" w:customStyle="1" w:styleId="CommentaireCar">
    <w:name w:val="Commentaire Car"/>
    <w:basedOn w:val="Policepardfaut"/>
    <w:link w:val="Commentaire"/>
    <w:uiPriority w:val="99"/>
    <w:rsid w:val="00777456"/>
    <w:rPr>
      <w:sz w:val="20"/>
      <w:szCs w:val="20"/>
    </w:rPr>
  </w:style>
  <w:style w:type="paragraph" w:styleId="Objetducommentaire">
    <w:name w:val="annotation subject"/>
    <w:basedOn w:val="Commentaire"/>
    <w:next w:val="Commentaire"/>
    <w:link w:val="ObjetducommentaireCar"/>
    <w:uiPriority w:val="99"/>
    <w:semiHidden/>
    <w:unhideWhenUsed/>
    <w:rsid w:val="00777456"/>
    <w:rPr>
      <w:b/>
      <w:bCs/>
    </w:rPr>
  </w:style>
  <w:style w:type="character" w:customStyle="1" w:styleId="ObjetducommentaireCar">
    <w:name w:val="Objet du commentaire Car"/>
    <w:basedOn w:val="CommentaireCar"/>
    <w:link w:val="Objetducommentaire"/>
    <w:uiPriority w:val="99"/>
    <w:semiHidden/>
    <w:rsid w:val="00777456"/>
    <w:rPr>
      <w:b/>
      <w:bCs/>
      <w:sz w:val="20"/>
      <w:szCs w:val="20"/>
    </w:rPr>
  </w:style>
  <w:style w:type="paragraph" w:styleId="Textedebulles">
    <w:name w:val="Balloon Text"/>
    <w:basedOn w:val="Normal"/>
    <w:link w:val="TextedebullesCar"/>
    <w:uiPriority w:val="99"/>
    <w:semiHidden/>
    <w:unhideWhenUsed/>
    <w:rsid w:val="007774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7456"/>
    <w:rPr>
      <w:rFonts w:ascii="Segoe UI" w:hAnsi="Segoe UI" w:cs="Segoe UI"/>
      <w:sz w:val="18"/>
      <w:szCs w:val="18"/>
    </w:rPr>
  </w:style>
  <w:style w:type="character" w:styleId="Lienhypertexte">
    <w:name w:val="Hyperlink"/>
    <w:basedOn w:val="Policepardfaut"/>
    <w:uiPriority w:val="99"/>
    <w:unhideWhenUsed/>
    <w:rsid w:val="00826BD1"/>
    <w:rPr>
      <w:color w:val="0000FF"/>
      <w:u w:val="single"/>
    </w:rPr>
  </w:style>
  <w:style w:type="table" w:styleId="Grilledutableau">
    <w:name w:val="Table Grid"/>
    <w:basedOn w:val="TableauNormal"/>
    <w:uiPriority w:val="59"/>
    <w:rsid w:val="00AA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Accent1">
    <w:name w:val="Light List Accent 1"/>
    <w:basedOn w:val="TableauNormal"/>
    <w:uiPriority w:val="61"/>
    <w:rsid w:val="002B272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67459349">
      <w:bodyDiv w:val="1"/>
      <w:marLeft w:val="0"/>
      <w:marRight w:val="0"/>
      <w:marTop w:val="0"/>
      <w:marBottom w:val="0"/>
      <w:divBdr>
        <w:top w:val="none" w:sz="0" w:space="0" w:color="auto"/>
        <w:left w:val="none" w:sz="0" w:space="0" w:color="auto"/>
        <w:bottom w:val="none" w:sz="0" w:space="0" w:color="auto"/>
        <w:right w:val="none" w:sz="0" w:space="0" w:color="auto"/>
      </w:divBdr>
    </w:div>
    <w:div w:id="285475816">
      <w:bodyDiv w:val="1"/>
      <w:marLeft w:val="0"/>
      <w:marRight w:val="0"/>
      <w:marTop w:val="0"/>
      <w:marBottom w:val="0"/>
      <w:divBdr>
        <w:top w:val="none" w:sz="0" w:space="0" w:color="auto"/>
        <w:left w:val="none" w:sz="0" w:space="0" w:color="auto"/>
        <w:bottom w:val="none" w:sz="0" w:space="0" w:color="auto"/>
        <w:right w:val="none" w:sz="0" w:space="0" w:color="auto"/>
      </w:divBdr>
    </w:div>
    <w:div w:id="633364254">
      <w:bodyDiv w:val="1"/>
      <w:marLeft w:val="0"/>
      <w:marRight w:val="0"/>
      <w:marTop w:val="0"/>
      <w:marBottom w:val="0"/>
      <w:divBdr>
        <w:top w:val="none" w:sz="0" w:space="0" w:color="auto"/>
        <w:left w:val="none" w:sz="0" w:space="0" w:color="auto"/>
        <w:bottom w:val="none" w:sz="0" w:space="0" w:color="auto"/>
        <w:right w:val="none" w:sz="0" w:space="0" w:color="auto"/>
      </w:divBdr>
    </w:div>
    <w:div w:id="773204751">
      <w:bodyDiv w:val="1"/>
      <w:marLeft w:val="0"/>
      <w:marRight w:val="0"/>
      <w:marTop w:val="0"/>
      <w:marBottom w:val="0"/>
      <w:divBdr>
        <w:top w:val="none" w:sz="0" w:space="0" w:color="auto"/>
        <w:left w:val="none" w:sz="0" w:space="0" w:color="auto"/>
        <w:bottom w:val="none" w:sz="0" w:space="0" w:color="auto"/>
        <w:right w:val="none" w:sz="0" w:space="0" w:color="auto"/>
      </w:divBdr>
    </w:div>
    <w:div w:id="875502546">
      <w:bodyDiv w:val="1"/>
      <w:marLeft w:val="0"/>
      <w:marRight w:val="0"/>
      <w:marTop w:val="0"/>
      <w:marBottom w:val="0"/>
      <w:divBdr>
        <w:top w:val="none" w:sz="0" w:space="0" w:color="auto"/>
        <w:left w:val="none" w:sz="0" w:space="0" w:color="auto"/>
        <w:bottom w:val="none" w:sz="0" w:space="0" w:color="auto"/>
        <w:right w:val="none" w:sz="0" w:space="0" w:color="auto"/>
      </w:divBdr>
    </w:div>
    <w:div w:id="924801875">
      <w:bodyDiv w:val="1"/>
      <w:marLeft w:val="0"/>
      <w:marRight w:val="0"/>
      <w:marTop w:val="0"/>
      <w:marBottom w:val="0"/>
      <w:divBdr>
        <w:top w:val="none" w:sz="0" w:space="0" w:color="auto"/>
        <w:left w:val="none" w:sz="0" w:space="0" w:color="auto"/>
        <w:bottom w:val="none" w:sz="0" w:space="0" w:color="auto"/>
        <w:right w:val="none" w:sz="0" w:space="0" w:color="auto"/>
      </w:divBdr>
    </w:div>
    <w:div w:id="932518842">
      <w:bodyDiv w:val="1"/>
      <w:marLeft w:val="0"/>
      <w:marRight w:val="0"/>
      <w:marTop w:val="0"/>
      <w:marBottom w:val="0"/>
      <w:divBdr>
        <w:top w:val="none" w:sz="0" w:space="0" w:color="auto"/>
        <w:left w:val="none" w:sz="0" w:space="0" w:color="auto"/>
        <w:bottom w:val="none" w:sz="0" w:space="0" w:color="auto"/>
        <w:right w:val="none" w:sz="0" w:space="0" w:color="auto"/>
      </w:divBdr>
    </w:div>
    <w:div w:id="1262495301">
      <w:bodyDiv w:val="1"/>
      <w:marLeft w:val="0"/>
      <w:marRight w:val="0"/>
      <w:marTop w:val="0"/>
      <w:marBottom w:val="0"/>
      <w:divBdr>
        <w:top w:val="none" w:sz="0" w:space="0" w:color="auto"/>
        <w:left w:val="none" w:sz="0" w:space="0" w:color="auto"/>
        <w:bottom w:val="none" w:sz="0" w:space="0" w:color="auto"/>
        <w:right w:val="none" w:sz="0" w:space="0" w:color="auto"/>
      </w:divBdr>
    </w:div>
    <w:div w:id="1329019904">
      <w:bodyDiv w:val="1"/>
      <w:marLeft w:val="0"/>
      <w:marRight w:val="0"/>
      <w:marTop w:val="0"/>
      <w:marBottom w:val="0"/>
      <w:divBdr>
        <w:top w:val="none" w:sz="0" w:space="0" w:color="auto"/>
        <w:left w:val="none" w:sz="0" w:space="0" w:color="auto"/>
        <w:bottom w:val="none" w:sz="0" w:space="0" w:color="auto"/>
        <w:right w:val="none" w:sz="0" w:space="0" w:color="auto"/>
      </w:divBdr>
    </w:div>
    <w:div w:id="1801220331">
      <w:bodyDiv w:val="1"/>
      <w:marLeft w:val="0"/>
      <w:marRight w:val="0"/>
      <w:marTop w:val="0"/>
      <w:marBottom w:val="0"/>
      <w:divBdr>
        <w:top w:val="none" w:sz="0" w:space="0" w:color="auto"/>
        <w:left w:val="none" w:sz="0" w:space="0" w:color="auto"/>
        <w:bottom w:val="none" w:sz="0" w:space="0" w:color="auto"/>
        <w:right w:val="none" w:sz="0" w:space="0" w:color="auto"/>
      </w:divBdr>
    </w:div>
    <w:div w:id="20361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frecrutconsult@sn.acfspai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1012</Words>
  <Characters>5569</Characters>
  <Application>Microsoft Office Word</Application>
  <DocSecurity>0</DocSecurity>
  <Lines>46</Lines>
  <Paragraphs>13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Suarez Morales</dc:creator>
  <cp:lastModifiedBy>ADMIN</cp:lastModifiedBy>
  <cp:revision>2</cp:revision>
  <dcterms:created xsi:type="dcterms:W3CDTF">2016-07-19T14:00:00Z</dcterms:created>
  <dcterms:modified xsi:type="dcterms:W3CDTF">2016-07-19T14:00:00Z</dcterms:modified>
</cp:coreProperties>
</file>